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Times New Roman" w:cs="Times New Roman" w:eastAsia="Times New Roman" w:hAnsi="Times New Roman"/>
          <w:b/>
          <w:bCs/>
          <w:color w:val="1F4E79"/>
          <w:sz w:val="32"/>
          <w:szCs w:val="32"/>
        </w:rPr>
        <w:t xml:space="preserve">A FASE DE ARTICULAÇÃO DO CICLO FORA COLLOR</w:t>
      </w:r>
    </w:p>
    <w:p>
      <w:pPr>
        <w:spacing w:after="120"/>
        <w:jc w:val="center"/>
      </w:pPr>
      <w:r>
        <w:rPr>
          <w:rFonts w:ascii="Times New Roman" w:cs="Times New Roman" w:eastAsia="Times New Roman" w:hAnsi="Times New Roman"/>
          <w:color w:val="2E75B6"/>
          <w:sz w:val="26"/>
          <w:szCs w:val="26"/>
        </w:rPr>
        <w:t xml:space="preserve">Novembro de 1991 a maio de 1992</w:t>
      </w:r>
    </w:p>
    <w:p>
      <w:pPr>
        <w:spacing w:after="600"/>
        <w:jc w:val="center"/>
      </w:pPr>
      <w:r>
        <w:rPr>
          <w:rFonts w:ascii="Times New Roman" w:cs="Times New Roman" w:eastAsia="Times New Roman" w:hAnsi="Times New Roman"/>
          <w:i/>
          <w:iCs/>
          <w:color w:val="444444"/>
          <w:sz w:val="24"/>
          <w:szCs w:val="24"/>
        </w:rPr>
        <w:t xml:space="preserve">Consolidação empírica da fase de emergência a partir de Mische (2008)</w:t>
      </w:r>
    </w:p>
    <w:p>
      <w:pPr>
        <w:spacing w:after="100"/>
        <w:jc w:val="center"/>
      </w:pPr>
      <w:r>
        <w:rPr>
          <w:rFonts w:ascii="Times New Roman" w:cs="Times New Roman" w:eastAsia="Times New Roman" w:hAnsi="Times New Roman"/>
          <w:sz w:val="22"/>
          <w:szCs w:val="22"/>
        </w:rPr>
        <w:t xml:space="preserve">Documento complementar ao dataset cycle_phases (v4)</w:t>
      </w:r>
    </w:p>
    <w:p>
      <w:pPr>
        <w:spacing w:after="1000"/>
        <w:jc w:val="center"/>
      </w:pPr>
      <w:r>
        <w:rPr>
          <w:rFonts w:ascii="Times New Roman" w:cs="Times New Roman" w:eastAsia="Times New Roman" w:hAnsi="Times New Roman"/>
          <w:color w:val="888888"/>
          <w:sz w:val="20"/>
          <w:szCs w:val="20"/>
        </w:rPr>
        <w:t xml:space="preserve">Documento de trabalho — julho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18"/>
              <w:bottom w:val="single" w:color="2E75B6" w:sz="2"/>
              <w:right w:val="single" w:color="2E75B6" w:sz="2"/>
            </w:tcBorders>
            <w:shd w:fill="E8F0FE"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Este documento consolida uma única fase de um único ciclo: a articulação (T1) que antecede a mobilização anti-Collor. Todos os dados empíricos provêm de MISCHE, Ann. Partisan Publics (Princeton University Press, 2008), cap. 5 e Tabela 5.1. Os scores contextuais associados são hipóteses analíticas preliminares, não medidas validadas. Datas e números não confirmados em fonte independente estão assim assinalados.</w:t>
            </w:r>
          </w:p>
        </w:tc>
      </w:tr>
    </w:tbl>
    <w:p>
      <w:r>
        <w:br w:type="page"/>
      </w:r>
    </w:p>
    <w:p>
      <w:pPr>
        <w:pStyle w:val="Heading1"/>
      </w:pPr>
      <w:r>
        <w:rPr>
          <w:rFonts w:ascii="Times New Roman" w:cs="Times New Roman" w:eastAsia="Times New Roman" w:hAnsi="Times New Roman"/>
          <w:b/>
          <w:bCs/>
        </w:rPr>
        <w:t xml:space="preserve">1. Objeto e justificativa</w:t>
      </w:r>
    </w:p>
    <w:p>
      <w:pPr>
        <w:spacing w:after="160" w:line="300"/>
        <w:jc w:val="both"/>
      </w:pPr>
      <w:r>
        <w:rPr>
          <w:rFonts w:ascii="Times New Roman" w:cs="Times New Roman" w:eastAsia="Times New Roman" w:hAnsi="Times New Roman"/>
          <w:sz w:val="24"/>
          <w:szCs w:val="24"/>
        </w:rPr>
        <w:t xml:space="preserve">Este documento trata isoladamente da fase de articulação do ciclo Fora Collor — o intervalo entre novembro de 1991 e maio de 1992 em que setores segmentados da sociedade civil brasileira começaram a convergir discursivamente contra o governo Collor, meses antes de o escândalo de corrupção deflagrar a mobilização de massa. A decisão de consolidá-la em documento próprio decorre de três razões.</w:t>
      </w:r>
    </w:p>
    <w:p>
      <w:pPr>
        <w:spacing w:after="160" w:line="300"/>
        <w:jc w:val="both"/>
      </w:pPr>
      <w:r>
        <w:rPr>
          <w:rFonts w:ascii="Times New Roman" w:cs="Times New Roman" w:eastAsia="Times New Roman" w:hAnsi="Times New Roman"/>
          <w:sz w:val="24"/>
          <w:szCs w:val="24"/>
        </w:rPr>
        <w:t xml:space="preserve">Primeiro, porque a incorporação da cronologia de Mische (2008) recuou o início do ciclo de maio de 1992 para novembro de 1991, tornando a articulação a nova fase de emergência do ciclo no dataset cycle_phases. A fase merece, portanto, tratamento empírico à altura da sua nova centralidade.</w:t>
      </w:r>
    </w:p>
    <w:p>
      <w:pPr>
        <w:spacing w:after="160" w:line="300"/>
        <w:jc w:val="both"/>
      </w:pPr>
      <w:r>
        <w:rPr>
          <w:rFonts w:ascii="Times New Roman" w:cs="Times New Roman" w:eastAsia="Times New Roman" w:hAnsi="Times New Roman"/>
          <w:sz w:val="24"/>
          <w:szCs w:val="24"/>
        </w:rPr>
        <w:t xml:space="preserve">Segundo, porque a articulação é precisamente o traço que distingue o Fora Collor de Junho de 2013 na comparação do projeto. Enquanto o ciclo de 1992 é precedido por seis meses de construção de coalizão em fóruns cívicos, o ciclo de 2013 irrompe sem fase análoga de articulação prévia. Documentar bem a articulação de 1992 é condição para sustentar esse contraste.</w:t>
      </w:r>
    </w:p>
    <w:p>
      <w:pPr>
        <w:spacing w:after="160" w:line="300"/>
        <w:jc w:val="both"/>
      </w:pPr>
      <w:r>
        <w:rPr>
          <w:rFonts w:ascii="Times New Roman" w:cs="Times New Roman" w:eastAsia="Times New Roman" w:hAnsi="Times New Roman"/>
          <w:sz w:val="24"/>
          <w:szCs w:val="24"/>
        </w:rPr>
        <w:t xml:space="preserve">Terceiro, porque a fase de articulação evidencia mecanismos de mediação — sobretudo a corretagem partidária suprimida — que não são visíveis nas fases de pico, quando a mobilização já se tornou massiva e aparentemente espontânea. É na articulação que se veem os bastidores da construção do ciclo.</w:t>
      </w:r>
    </w:p>
    <w:p>
      <w:pPr>
        <w:pStyle w:val="Heading1"/>
      </w:pPr>
      <w:r>
        <w:rPr>
          <w:rFonts w:ascii="Times New Roman" w:cs="Times New Roman" w:eastAsia="Times New Roman" w:hAnsi="Times New Roman"/>
          <w:b/>
          <w:bCs/>
        </w:rPr>
        <w:t xml:space="preserve">2. O conceito de fase de articulação</w:t>
      </w:r>
    </w:p>
    <w:p>
      <w:pPr>
        <w:spacing w:after="160" w:line="300"/>
        <w:jc w:val="both"/>
      </w:pPr>
      <w:r>
        <w:rPr>
          <w:rFonts w:ascii="Times New Roman" w:cs="Times New Roman" w:eastAsia="Times New Roman" w:hAnsi="Times New Roman"/>
          <w:sz w:val="24"/>
          <w:szCs w:val="24"/>
        </w:rPr>
        <w:t xml:space="preserve">No vocabulário da Teoria do Processo Político, a fase de emergência de um ciclo de confronto corresponde ao período em que atores coletivos começam a testar a receptividade do ambiente político e a construir os enquadramentos que orientarão a ação subsequente. Mische (2008) oferece uma caracterização mais fina desse momento ao descrevê-lo como um processo de articulação: a construção deliberada de vínculos discursivos entre setores que, até então, operavam de forma segmentada.</w:t>
      </w:r>
    </w:p>
    <w:p>
      <w:pPr>
        <w:spacing w:after="160" w:line="300"/>
        <w:jc w:val="both"/>
      </w:pPr>
      <w:r>
        <w:rPr>
          <w:rFonts w:ascii="Times New Roman" w:cs="Times New Roman" w:eastAsia="Times New Roman" w:hAnsi="Times New Roman"/>
          <w:sz w:val="24"/>
          <w:szCs w:val="24"/>
        </w:rPr>
        <w:t xml:space="preserve">Articular, nesse sentido, não é mobilizar. É estabelecer as pontes relacionais e discursivas que tornarão a mobilização possível mais tarde. A autora identifica quatro mecanismos de mediação que operam na formação desses públicos provisórios: a articulação propriamente dita, a amplificação, a coordenação e a ponte simbólica. Na fase inicial do ciclo Fora Collor, o mecanismo dominante é a articulação, exercida por corretores que transitam entre meios sociais distintos com base em vínculos parcialmente ocultos.</w:t>
      </w:r>
    </w:p>
    <w:p>
      <w:pPr>
        <w:pStyle w:val="Heading1"/>
      </w:pPr>
      <w:r>
        <w:rPr>
          <w:rFonts w:ascii="Times New Roman" w:cs="Times New Roman" w:eastAsia="Times New Roman" w:hAnsi="Times New Roman"/>
          <w:b/>
          <w:bCs/>
        </w:rPr>
        <w:t xml:space="preserve">3. Contexto estrutural: a erosão do governo Collor (1990–1991)</w:t>
      </w:r>
    </w:p>
    <w:p>
      <w:pPr>
        <w:spacing w:after="160" w:line="300"/>
        <w:jc w:val="both"/>
      </w:pPr>
      <w:r>
        <w:rPr>
          <w:rFonts w:ascii="Times New Roman" w:cs="Times New Roman" w:eastAsia="Times New Roman" w:hAnsi="Times New Roman"/>
          <w:sz w:val="24"/>
          <w:szCs w:val="24"/>
        </w:rPr>
        <w:t xml:space="preserve">A articulação anti-Collor não emergiu do vazio. Segundo Mische, o descontentamento com o governo vinha crescendo de modo constante desde o fracasso das tentativas de estabilização econômica. Ao tomar posse em 1990, Collor tentara debelar a inflação com um plano de choque que congelou depósitos de poupança e implementou reformas monetárias, acompanhadas de privatizações e abertura ao capital externo. O resultado foi efêmero: em janeiro de 1991, a inflação já retornara a cerca de 20% ao mês.</w:t>
      </w:r>
    </w:p>
    <w:p>
      <w:pPr>
        <w:spacing w:after="160" w:line="300"/>
        <w:jc w:val="both"/>
      </w:pPr>
      <w:r>
        <w:rPr>
          <w:rFonts w:ascii="Times New Roman" w:cs="Times New Roman" w:eastAsia="Times New Roman" w:hAnsi="Times New Roman"/>
          <w:sz w:val="24"/>
          <w:szCs w:val="24"/>
        </w:rPr>
        <w:t xml:space="preserve">Um segundo pacote econômico, no início de 1991, também fracassou no controle inflacionário, ao custo de recessão industrial, desemprego crescente e cortes em programas sociais. Simultaneamente, escândalos menores envolvendo indicados e familiares do presidente começavam a corroer sua autopromoção populista como cruzado anticorrupção — imagem com que havia conquistado popularidade no fim dos anos 1980.</w:t>
      </w:r>
    </w:p>
    <w:p>
      <w:pPr>
        <w:spacing w:after="160" w:line="300"/>
        <w:jc w:val="both"/>
      </w:pPr>
      <w:r>
        <w:rPr>
          <w:rFonts w:ascii="Times New Roman" w:cs="Times New Roman" w:eastAsia="Times New Roman" w:hAnsi="Times New Roman"/>
          <w:sz w:val="24"/>
          <w:szCs w:val="24"/>
        </w:rPr>
        <w:t xml:space="preserve">Dois anos após a posse, a alta popularidade inicial de Collor havia desabado. Sua base congressual, por sua vez, mostrava-se irritada com o uso de medidas provisórias para legislar por decreto, o que deixava o presidente politicamente cada vez mais isolado. Foi nesse clima que setores organizados passaram a usar fóruns públicos para reclamar, de modo mais veemente, uma alternativa ao estado de coisas vigente. É essa a matéria-prima da fase de articulação.</w:t>
      </w:r>
    </w:p>
    <w:p>
      <w:pPr>
        <w:pStyle w:val="Heading1"/>
      </w:pPr>
      <w:r>
        <w:rPr>
          <w:rFonts w:ascii="Times New Roman" w:cs="Times New Roman" w:eastAsia="Times New Roman" w:hAnsi="Times New Roman"/>
          <w:b/>
          <w:bCs/>
        </w:rPr>
        <w:t xml:space="preserve">4. Cronologia da articulação (novembro de 1991 a maio de 1992)</w:t>
      </w:r>
    </w:p>
    <w:p>
      <w:pPr>
        <w:spacing w:after="160" w:line="300"/>
        <w:jc w:val="both"/>
      </w:pPr>
      <w:r>
        <w:rPr>
          <w:rFonts w:ascii="Times New Roman" w:cs="Times New Roman" w:eastAsia="Times New Roman" w:hAnsi="Times New Roman"/>
          <w:sz w:val="24"/>
          <w:szCs w:val="24"/>
        </w:rPr>
        <w:t xml:space="preserve">A Tabela 5.1 de Mische (2008) registra nove eventos na fase de articulação. A tabela abaixo os reproduz, indicando o caráter setorial e o tipo de evento. Note-se o predomínio de fóruns, conselhos e congressos deliberativos — apenas três eventos têm caráter propriamente de rua, o que é coerente com uma fase de construção de coalizão, e não de mobilização de massa.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1400"/>
        <w:gridCol w:w="1946"/>
        <w:gridCol w:w="1320"/>
        <w:gridCol w:w="800"/>
      </w:tblGrid>
      <w:tr>
        <w:trPr>
          <w:tblHeader/>
        </w:trPr>
        <w:tc>
          <w:tcPr>
            <w:tcW w:type="dxa" w:w="56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Nº</w:t>
            </w:r>
          </w:p>
        </w:tc>
        <w:tc>
          <w:tcPr>
            <w:tcW w:type="dxa" w:w="30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Evento</w:t>
            </w:r>
          </w:p>
        </w:tc>
        <w:tc>
          <w:tcPr>
            <w:tcW w:type="dxa" w:w="14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Local</w:t>
            </w:r>
          </w:p>
        </w:tc>
        <w:tc>
          <w:tcPr>
            <w:tcW w:type="dxa" w:w="1946"/>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Caráter setorial</w:t>
            </w:r>
          </w:p>
        </w:tc>
        <w:tc>
          <w:tcPr>
            <w:tcW w:type="dxa" w:w="132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Data</w:t>
            </w:r>
          </w:p>
        </w:tc>
        <w:tc>
          <w:tcPr>
            <w:tcW w:type="dxa" w:w="8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Tipo</w:t>
            </w:r>
          </w:p>
        </w:tc>
      </w:tr>
      <w:tr>
        <w:tc>
          <w:tcPr>
            <w:tcW w:type="dxa" w:w="56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1</w:t>
            </w:r>
          </w:p>
        </w:tc>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Movimento Opção pelo Brasil (MOB)</w:t>
            </w:r>
          </w:p>
        </w:tc>
        <w:tc>
          <w:tcPr>
            <w:tcW w:type="dxa" w:w="1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São Paulo</w:t>
            </w:r>
          </w:p>
        </w:tc>
        <w:tc>
          <w:tcPr>
            <w:tcW w:type="dxa" w:w="194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Cívico/Não-partidário</w:t>
            </w:r>
          </w:p>
        </w:tc>
        <w:tc>
          <w:tcPr>
            <w:tcW w:type="dxa" w:w="132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11/11/1991</w:t>
            </w:r>
          </w:p>
        </w:tc>
        <w:tc>
          <w:tcPr>
            <w:tcW w:type="dxa" w:w="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Fórum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IX CONEB</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São Paulo</w:t>
            </w:r>
          </w:p>
        </w:tc>
        <w:tc>
          <w:tcPr>
            <w:tcW w:type="dxa" w:w="194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Estudantil</w:t>
            </w:r>
          </w:p>
        </w:tc>
        <w:tc>
          <w:tcPr>
            <w:tcW w:type="dxa" w:w="13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04–08/12/1991</w:t>
            </w:r>
          </w:p>
        </w:tc>
        <w:tc>
          <w:tcPr>
            <w:tcW w:type="dxa" w:w="800"/>
            <w:tcBorders>
              <w:top w:val="single" w:color="CCCCCC" w:sz="1"/>
              <w:left w:val="single" w:color="CCCCCC" w:sz="1"/>
              <w:bottom w:val="single" w:color="CCCCCC" w:sz="1"/>
              <w:right w:val="single" w:color="CCCCCC" w:sz="1"/>
            </w:tcBorders>
            <w:shd w:fill="FAFAFA"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Conselho</w:t>
            </w:r>
          </w:p>
        </w:tc>
      </w:tr>
      <w:tr>
        <w:tc>
          <w:tcPr>
            <w:tcW w:type="dxa" w:w="56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3</w:t>
            </w:r>
          </w:p>
        </w:tc>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Menos Salário e Mais Impostos</w:t>
            </w:r>
          </w:p>
        </w:tc>
        <w:tc>
          <w:tcPr>
            <w:tcW w:type="dxa" w:w="1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São Paulo</w:t>
            </w:r>
          </w:p>
        </w:tc>
        <w:tc>
          <w:tcPr>
            <w:tcW w:type="dxa" w:w="194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Trabalhista/Empresarial</w:t>
            </w:r>
          </w:p>
        </w:tc>
        <w:tc>
          <w:tcPr>
            <w:tcW w:type="dxa" w:w="132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09/12/1991</w:t>
            </w:r>
          </w:p>
        </w:tc>
        <w:tc>
          <w:tcPr>
            <w:tcW w:type="dxa" w:w="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Fórum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Fora Collor Já</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São Paulo</w:t>
            </w:r>
          </w:p>
        </w:tc>
        <w:tc>
          <w:tcPr>
            <w:tcW w:type="dxa" w:w="194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Trabalhista</w:t>
            </w:r>
          </w:p>
        </w:tc>
        <w:tc>
          <w:tcPr>
            <w:tcW w:type="dxa" w:w="13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12/12/1991</w:t>
            </w:r>
          </w:p>
        </w:tc>
        <w:tc>
          <w:tcPr>
            <w:tcW w:type="dxa" w:w="800"/>
            <w:tcBorders>
              <w:top w:val="single" w:color="CCCCCC" w:sz="1"/>
              <w:left w:val="single" w:color="CCCCCC" w:sz="1"/>
              <w:bottom w:val="single" w:color="CCCCCC" w:sz="1"/>
              <w:right w:val="single" w:color="CCCCCC" w:sz="1"/>
            </w:tcBorders>
            <w:shd w:fill="FFF8E1"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Ato (?)</w:t>
            </w:r>
          </w:p>
        </w:tc>
      </w:tr>
      <w:tr>
        <w:tc>
          <w:tcPr>
            <w:tcW w:type="dxa" w:w="56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5</w:t>
            </w:r>
          </w:p>
        </w:tc>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Vigília Contra a Recessão</w:t>
            </w:r>
          </w:p>
        </w:tc>
        <w:tc>
          <w:tcPr>
            <w:tcW w:type="dxa" w:w="1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São Paulo</w:t>
            </w:r>
          </w:p>
        </w:tc>
        <w:tc>
          <w:tcPr>
            <w:tcW w:type="dxa" w:w="194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Cívico/Partidário</w:t>
            </w:r>
          </w:p>
        </w:tc>
        <w:tc>
          <w:tcPr>
            <w:tcW w:type="dxa" w:w="132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12/12/1991</w:t>
            </w:r>
          </w:p>
        </w:tc>
        <w:tc>
          <w:tcPr>
            <w:tcW w:type="dxa" w:w="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Vigília</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Dia Nacional de Luta (CUT)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Nacional/SP</w:t>
            </w:r>
          </w:p>
        </w:tc>
        <w:tc>
          <w:tcPr>
            <w:tcW w:type="dxa" w:w="194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Trabalhista</w:t>
            </w:r>
          </w:p>
        </w:tc>
        <w:tc>
          <w:tcPr>
            <w:tcW w:type="dxa" w:w="13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13/03/1992</w:t>
            </w:r>
          </w:p>
        </w:tc>
        <w:tc>
          <w:tcPr>
            <w:tcW w:type="dxa" w:w="80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Rua</w:t>
            </w:r>
          </w:p>
        </w:tc>
      </w:tr>
      <w:tr>
        <w:tc>
          <w:tcPr>
            <w:tcW w:type="dxa" w:w="56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7</w:t>
            </w:r>
          </w:p>
        </w:tc>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Dia de Protesto / Fora Collor</w:t>
            </w:r>
          </w:p>
        </w:tc>
        <w:tc>
          <w:tcPr>
            <w:tcW w:type="dxa" w:w="1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Nacional/SP</w:t>
            </w:r>
          </w:p>
        </w:tc>
        <w:tc>
          <w:tcPr>
            <w:tcW w:type="dxa" w:w="194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Estudantil</w:t>
            </w:r>
          </w:p>
        </w:tc>
        <w:tc>
          <w:tcPr>
            <w:tcW w:type="dxa" w:w="132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08/04/1992</w:t>
            </w:r>
          </w:p>
        </w:tc>
        <w:tc>
          <w:tcPr>
            <w:tcW w:type="dxa" w:w="80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Rua</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Dia do Trabalhador (1º de Maio)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Nacional/SP</w:t>
            </w:r>
          </w:p>
        </w:tc>
        <w:tc>
          <w:tcPr>
            <w:tcW w:type="dxa" w:w="194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Trabalhista</w:t>
            </w:r>
          </w:p>
        </w:tc>
        <w:tc>
          <w:tcPr>
            <w:tcW w:type="dxa" w:w="13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01/05/1992</w:t>
            </w:r>
          </w:p>
        </w:tc>
        <w:tc>
          <w:tcPr>
            <w:tcW w:type="dxa" w:w="800"/>
            <w:tcBorders>
              <w:top w:val="single" w:color="CCCCCC" w:sz="1"/>
              <w:left w:val="single" w:color="CCCCCC" w:sz="1"/>
              <w:bottom w:val="single" w:color="CCCCCC" w:sz="1"/>
              <w:right w:val="single" w:color="CCCCCC" w:sz="1"/>
            </w:tcBorders>
            <w:shd w:fill="E8F5E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Rua</w:t>
            </w:r>
          </w:p>
        </w:tc>
      </w:tr>
      <w:tr>
        <w:tc>
          <w:tcPr>
            <w:tcW w:type="dxa" w:w="56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9</w:t>
            </w:r>
          </w:p>
        </w:tc>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42º Congresso da UNE</w:t>
            </w:r>
          </w:p>
        </w:tc>
        <w:tc>
          <w:tcPr>
            <w:tcW w:type="dxa" w:w="1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Niterói/Rio</w:t>
            </w:r>
          </w:p>
        </w:tc>
        <w:tc>
          <w:tcPr>
            <w:tcW w:type="dxa" w:w="194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Estudantil</w:t>
            </w:r>
          </w:p>
        </w:tc>
        <w:tc>
          <w:tcPr>
            <w:tcW w:type="dxa" w:w="132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28–31/05/1992</w:t>
            </w:r>
          </w:p>
        </w:tc>
        <w:tc>
          <w:tcPr>
            <w:tcW w:type="dxa" w:w="8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9"/>
                <w:szCs w:val="19"/>
              </w:rPr>
              <w:t xml:space="preserve">Congresso</w:t>
            </w:r>
          </w:p>
        </w:tc>
      </w:tr>
    </w:tbl>
    <w:p>
      <w:pPr>
        <w:spacing w:after="120"/>
      </w:pPr>
    </w:p>
    <w:p>
      <w:pPr>
        <w:spacing w:after="160" w:line="300"/>
        <w:jc w:val="both"/>
      </w:pPr>
      <w:r>
        <w:rPr>
          <w:rFonts w:ascii="Times New Roman" w:cs="Times New Roman" w:eastAsia="Times New Roman" w:hAnsi="Times New Roman"/>
          <w:sz w:val="24"/>
          <w:szCs w:val="24"/>
        </w:rPr>
        <w:t xml:space="preserve">Legenda de cores (coluna Tipo): </w:t>
      </w:r>
      <w:r>
        <w:rPr>
          <w:rFonts w:ascii="Times New Roman" w:cs="Times New Roman" w:eastAsia="Times New Roman" w:hAnsi="Times New Roman"/>
          <w:b/>
          <w:bCs/>
          <w:sz w:val="24"/>
          <w:szCs w:val="24"/>
        </w:rPr>
        <w:t xml:space="preserve">verde</w:t>
      </w:r>
      <w:r>
        <w:rPr>
          <w:rFonts w:ascii="Times New Roman" w:cs="Times New Roman" w:eastAsia="Times New Roman" w:hAnsi="Times New Roman"/>
          <w:sz w:val="24"/>
          <w:szCs w:val="24"/>
        </w:rPr>
        <w:t xml:space="preserve"> = evento de rua (incluído no protest_events seed); </w:t>
      </w:r>
      <w:r>
        <w:rPr>
          <w:rFonts w:ascii="Times New Roman" w:cs="Times New Roman" w:eastAsia="Times New Roman" w:hAnsi="Times New Roman"/>
          <w:b/>
          <w:bCs/>
          <w:sz w:val="24"/>
          <w:szCs w:val="24"/>
        </w:rPr>
        <w:t xml:space="preserve">amarelo</w:t>
      </w:r>
      <w:r>
        <w:rPr>
          <w:rFonts w:ascii="Times New Roman" w:cs="Times New Roman" w:eastAsia="Times New Roman" w:hAnsi="Times New Roman"/>
          <w:sz w:val="24"/>
          <w:szCs w:val="24"/>
        </w:rPr>
        <w:t xml:space="preserve"> = ato de rua de caráter não confirmado na fonte; </w:t>
      </w:r>
      <w:r>
        <w:rPr>
          <w:rFonts w:ascii="Times New Roman" w:cs="Times New Roman" w:eastAsia="Times New Roman" w:hAnsi="Times New Roman"/>
          <w:b/>
          <w:bCs/>
          <w:sz w:val="24"/>
          <w:szCs w:val="24"/>
        </w:rPr>
        <w:t xml:space="preserve">cinza</w:t>
      </w:r>
      <w:r>
        <w:rPr>
          <w:rFonts w:ascii="Times New Roman" w:cs="Times New Roman" w:eastAsia="Times New Roman" w:hAnsi="Times New Roman"/>
          <w:sz w:val="24"/>
          <w:szCs w:val="24"/>
        </w:rPr>
        <w:t xml:space="preserve"> = fórum, conselho, congresso ou vigília deliberativa (excluído do seed de eventos).</w:t>
      </w:r>
    </w:p>
    <w:p>
      <w:pPr>
        <w:spacing w:after="160" w:line="300"/>
        <w:jc w:val="both"/>
      </w:pPr>
      <w:r>
        <w:rPr>
          <w:rFonts w:ascii="Times New Roman" w:cs="Times New Roman" w:eastAsia="Times New Roman" w:hAnsi="Times New Roman"/>
          <w:sz w:val="24"/>
          <w:szCs w:val="24"/>
        </w:rPr>
        <w:t xml:space="preserve">Os três eventos de rua desta fase — o Dia Nacional de Luta da CUT (13/03/1992), o Dia de Protesto estudantil (08/04/1992) e o 1º de Maio (01/05/1992) — foram, segundo Mische, de pequena dimensão e participação majoritariamente militante. A autora registra que a tentativa estudantil de abril foi “bastante pequena”. Nenhum desses eventos tem estimativa de público na fonte, e nenhum número foi atribuído a eles no dataset.</w:t>
      </w:r>
    </w:p>
    <w:p>
      <w:r>
        <w:br w:type="page"/>
      </w:r>
    </w:p>
    <w:p>
      <w:pPr>
        <w:pStyle w:val="Heading1"/>
      </w:pPr>
      <w:r>
        <w:rPr>
          <w:rFonts w:ascii="Times New Roman" w:cs="Times New Roman" w:eastAsia="Times New Roman" w:hAnsi="Times New Roman"/>
          <w:b/>
          <w:bCs/>
        </w:rPr>
        <w:t xml:space="preserve">5. Dinâmicas de mediação</w:t>
      </w:r>
    </w:p>
    <w:p>
      <w:pPr>
        <w:spacing w:after="160" w:line="300"/>
        <w:jc w:val="both"/>
      </w:pPr>
      <w:r>
        <w:rPr>
          <w:rFonts w:ascii="Times New Roman" w:cs="Times New Roman" w:eastAsia="Times New Roman" w:hAnsi="Times New Roman"/>
          <w:sz w:val="24"/>
          <w:szCs w:val="24"/>
        </w:rPr>
        <w:t xml:space="preserve">Mische organiza a fase de articulação em torno de dois eventos que considera decisivos para preparar a interface entre os meios cívico e estudantil: o Movimento Opção pelo Brasil e o IX Conselho de Entidades de Base da UNE. A eles se soma a atuação de um grupo específico de corretores — os estudantes ligados ao PSDB.</w:t>
      </w:r>
    </w:p>
    <w:p>
      <w:pPr>
        <w:pStyle w:val="Heading2"/>
      </w:pPr>
      <w:r>
        <w:rPr>
          <w:rFonts w:ascii="Times New Roman" w:cs="Times New Roman" w:eastAsia="Times New Roman" w:hAnsi="Times New Roman"/>
          <w:b/>
          <w:bCs/>
        </w:rPr>
        <w:t xml:space="preserve">5.1 O Movimento Opção pelo Brasil (MOB)</w:t>
      </w:r>
    </w:p>
    <w:p>
      <w:pPr>
        <w:spacing w:after="160" w:line="300"/>
        <w:jc w:val="both"/>
      </w:pPr>
      <w:r>
        <w:rPr>
          <w:rFonts w:ascii="Times New Roman" w:cs="Times New Roman" w:eastAsia="Times New Roman" w:hAnsi="Times New Roman"/>
          <w:sz w:val="24"/>
          <w:szCs w:val="24"/>
        </w:rPr>
        <w:t xml:space="preserve">Lançado em 11 de novembro de 1991 na Pontifícia Universidade Católica de São Paulo, o MOB foi um fórum cívico que reuniu uma coalizão frouxa de intelectuais, políticos e lideranças de entidades profissionais, sindicais, religiosas e empresariais, incumbida de buscar alternativas para a “crise” brasileira. Segundo Mische, as reuniões preparatórias eram sediadas pelo Instituto Latino-Americano (ILAM), um think tank fundado por intelectuais ligados ao PSDB.</w:t>
      </w:r>
    </w:p>
    <w:p>
      <w:pPr>
        <w:spacing w:after="160" w:line="300"/>
        <w:jc w:val="both"/>
      </w:pPr>
      <w:r>
        <w:rPr>
          <w:rFonts w:ascii="Times New Roman" w:cs="Times New Roman" w:eastAsia="Times New Roman" w:hAnsi="Times New Roman"/>
          <w:sz w:val="24"/>
          <w:szCs w:val="24"/>
        </w:rPr>
        <w:t xml:space="preserve">Embora os organizadores enfatizassem o caráter não-partidário do movimento, convidaram grandes lideranças partidárias para a cerimônia de lançamento — na condição de figuras públicas, não de representantes formais de seus partidos. Entre os presentes estavam Luiz Inácio Lula da Silva (presidente do PT), o ex-governador André Franco Montoro e o senador Fernando Henrique Cardoso, ambos do PSDB, além de lideranças das três centrais sindicais (CUT, CGT e Força Sindical), das federações empresariais, da CNBB, da OAB e da ABI.</w:t>
      </w:r>
    </w:p>
    <w:p>
      <w:pPr>
        <w:spacing w:after="160" w:line="300"/>
        <w:jc w:val="both"/>
      </w:pPr>
      <w:r>
        <w:rPr>
          <w:rFonts w:ascii="Times New Roman" w:cs="Times New Roman" w:eastAsia="Times New Roman" w:hAnsi="Times New Roman"/>
          <w:sz w:val="24"/>
          <w:szCs w:val="24"/>
        </w:rPr>
        <w:t xml:space="preserve">Das mais de trinta organizações que assinaram o manifesto, a única entidade estudantil signatária foi o Centro Acadêmico XI de Agosto (CA XI), a associação de estudantes de Direito da USP, fundada em 1903 e a mais antiga do Brasil. A UNE não assinou, embora estivesse representada na cerimônia — significativamente, por Eugênio, um quadro de baixo escalão ligado ao PSDB, e não pela direção do PCdoB, então hegemônica na entidade. Mische registra a fala de Eugênio: ele foi à mesa de abertura “como UNE”, sendo o único membro da entidade presente.</w:t>
      </w:r>
    </w:p>
    <w:p>
      <w:pPr>
        <w:spacing w:after="160" w:line="300"/>
        <w:jc w:val="both"/>
      </w:pPr>
      <w:r>
        <w:rPr>
          <w:rFonts w:ascii="Times New Roman" w:cs="Times New Roman" w:eastAsia="Times New Roman" w:hAnsi="Times New Roman"/>
          <w:sz w:val="24"/>
          <w:szCs w:val="24"/>
        </w:rPr>
        <w:t xml:space="preserve">O MOB é, para Mische, o exemplo paradigmático de um “público”: um espaço heterogêneo de discussão intersetorial, baseado na equalização provisória de atores com posições ideológicas e recursos de poder muito distintos. Ainda que tenha perdido força no início de 1992, minado por seu foco no debate em detrimento da ação, o MOB estabeleceu o precedente para a participação do movimento estudantil em fóruns cívicos mais amplos e preparou a formação, meses depois, do Movimento pela Ética na Política.</w:t>
      </w:r>
    </w:p>
    <w:p>
      <w:pPr>
        <w:pStyle w:val="Heading2"/>
      </w:pPr>
      <w:r>
        <w:rPr>
          <w:rFonts w:ascii="Times New Roman" w:cs="Times New Roman" w:eastAsia="Times New Roman" w:hAnsi="Times New Roman"/>
          <w:b/>
          <w:bCs/>
        </w:rPr>
        <w:t xml:space="preserve">5.2 O IX CONEB e o nascimento do “Fora Collor”</w:t>
      </w:r>
    </w:p>
    <w:p>
      <w:pPr>
        <w:spacing w:after="160" w:line="300"/>
        <w:jc w:val="both"/>
      </w:pPr>
      <w:r>
        <w:rPr>
          <w:rFonts w:ascii="Times New Roman" w:cs="Times New Roman" w:eastAsia="Times New Roman" w:hAnsi="Times New Roman"/>
          <w:sz w:val="24"/>
          <w:szCs w:val="24"/>
        </w:rPr>
        <w:t xml:space="preserve">Na primeira semana de dezembro de 1991, o movimento estudantil realizou, na USP, um conselho considerado “histórico” por reunir cerca de quatrocentas lideranças de base das universidades, em vez dos dirigentes de alto escalão que costumavam compor os conselhos deliberativos da UNE. Foi no IX CONEB que se debateu qual posição o movimento estudantil deveria adotar frente ao governo Collor.</w:t>
      </w:r>
    </w:p>
    <w:p>
      <w:pPr>
        <w:spacing w:after="160" w:line="300"/>
        <w:jc w:val="both"/>
      </w:pPr>
      <w:r>
        <w:rPr>
          <w:rFonts w:ascii="Times New Roman" w:cs="Times New Roman" w:eastAsia="Times New Roman" w:hAnsi="Times New Roman"/>
          <w:sz w:val="24"/>
          <w:szCs w:val="24"/>
        </w:rPr>
        <w:t xml:space="preserve">Mische identifica três posições em disputa: a primeira, defendida pelas facções mais radicais do PT, pregava a saída imediata de Collor (Fora Collor) e eleições gerais; a segunda, mais moderada e institucionalista, associada ao MR-8 abrigado no PMDB, defendia o impeachment; a terceira, sustentada por setores dialogistas do PT, propunha apenas “Oposição a Collor” e a discussão de soluções com a sociedade. Após intenso debate, os estudantes chegaram a uma resolução consensual que incorporava as palavras-código de cada facção e que unificava o campo em torno do slogan Fora Collor.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18"/>
              <w:bottom w:val="single" w:color="2E75B6" w:sz="2"/>
              <w:right w:val="single" w:color="2E75B6" w:sz="2"/>
            </w:tcBorders>
            <w:shd w:fill="E8F0FE"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Achado relevante para o projeto. O slogan “Fora Collor” — que estruturaria discursivamente todo o ciclo — não nasceu nas ruas nem no auge da mobilização, mas em um conselho estudantil deliberativo, em dezembro de 1991, como fórmula de compromisso entre facções partidárias. Isto ilustra que a ressonância discursiva posterior (od_ressonancia_discursiva) foi precedida por um trabalho deliberado de construção de enquadramento na fase de articulação.</w:t>
            </w:r>
          </w:p>
        </w:tc>
      </w:tr>
    </w:tbl>
    <w:p>
      <w:pPr>
        <w:pStyle w:val="Heading2"/>
      </w:pPr>
      <w:r>
        <w:rPr>
          <w:rFonts w:ascii="Times New Roman" w:cs="Times New Roman" w:eastAsia="Times New Roman" w:hAnsi="Times New Roman"/>
          <w:b/>
          <w:bCs/>
        </w:rPr>
        <w:t xml:space="preserve">5.3 Os corretores partidários suprimidos</w:t>
      </w:r>
    </w:p>
    <w:p>
      <w:pPr>
        <w:spacing w:after="160" w:line="300"/>
        <w:jc w:val="both"/>
      </w:pPr>
      <w:r>
        <w:rPr>
          <w:rFonts w:ascii="Times New Roman" w:cs="Times New Roman" w:eastAsia="Times New Roman" w:hAnsi="Times New Roman"/>
          <w:sz w:val="24"/>
          <w:szCs w:val="24"/>
        </w:rPr>
        <w:t xml:space="preserve">O mecanismo central da fase de articulação, segundo Mische, é a corretagem exercida pelos estudantes ligados ao PSDB — sobretudo Eugênio e Marcelo. Ao servirem como representantes do movimento estudantil em eventos cívicos que a maioria das lideranças estudantis não frequentava, esses ativistas puderam construir uma ponte entre o movimento estudantil radical e o fórum cívico moderado.</w:t>
      </w:r>
    </w:p>
    <w:p>
      <w:pPr>
        <w:spacing w:after="160" w:line="300"/>
        <w:jc w:val="both"/>
      </w:pPr>
      <w:r>
        <w:rPr>
          <w:rFonts w:ascii="Times New Roman" w:cs="Times New Roman" w:eastAsia="Times New Roman" w:hAnsi="Times New Roman"/>
          <w:sz w:val="24"/>
          <w:szCs w:val="24"/>
        </w:rPr>
        <w:t xml:space="preserve">O aspecto decisivo — e, para Mische, irônico — é que essa ponte se apoiava justamente nos vínculos partidários que os corretores mantinham suprimidos no evento. Eram suas afiliações ao PSDB, silenciadas em público, que os aproximavam dos organizadores do fórum cívico não-partidário. A corretagem funcionava, portanto, por meio de laços partidários latentes, não declarados. Essa observação é analiticamente importante porque mostra que a aparência de não-partidarismo dos fóruns cívicos era, ela própria, produto de uma articulação partidária de bastidores.</w:t>
      </w:r>
    </w:p>
    <w:p>
      <w:pPr>
        <w:pStyle w:val="Heading1"/>
      </w:pPr>
      <w:r>
        <w:rPr>
          <w:rFonts w:ascii="Times New Roman" w:cs="Times New Roman" w:eastAsia="Times New Roman" w:hAnsi="Times New Roman"/>
          <w:b/>
          <w:bCs/>
        </w:rPr>
        <w:t xml:space="preserve">6. Segmentação parcial entre os meios estudantil e cívico</w:t>
      </w:r>
    </w:p>
    <w:p>
      <w:pPr>
        <w:spacing w:after="160" w:line="300"/>
        <w:jc w:val="both"/>
      </w:pPr>
      <w:r>
        <w:rPr>
          <w:rFonts w:ascii="Times New Roman" w:cs="Times New Roman" w:eastAsia="Times New Roman" w:hAnsi="Times New Roman"/>
          <w:sz w:val="24"/>
          <w:szCs w:val="24"/>
        </w:rPr>
        <w:t xml:space="preserve">A fase de articulação caracteriza-se, na leitura de Mische, por uma segmentação parcial entre o meio estudantil e o meio cívico, fortemente estruturada por afiliações partidárias. A maioria das lideranças participava dos eventos do movimento estudantil — o conselho e o congresso da UNE, e o ato anti-Collor de abril. Apenas um punhado comparecia aos fóruns cívicos mais amplos.</w:t>
      </w:r>
    </w:p>
    <w:p>
      <w:pPr>
        <w:spacing w:after="160" w:line="300"/>
        <w:jc w:val="both"/>
      </w:pPr>
      <w:r>
        <w:rPr>
          <w:rFonts w:ascii="Times New Roman" w:cs="Times New Roman" w:eastAsia="Times New Roman" w:hAnsi="Times New Roman"/>
          <w:sz w:val="24"/>
          <w:szCs w:val="24"/>
        </w:rPr>
        <w:t xml:space="preserve">Os dois quadros do PSDB não acompanhavam os ativistas do PT nos eventos cívico-partidários organizados pela CUT; participavam somente dos eventos explicitamente não-partidários, como o lançamento do MOB e um fórum antitributário organizado por grupos empresariais e pelas centrais de direita. Essa distribuição desigual dos ativistas pelos eventos é o que conferia aos corretores do PSDB sua posição estratégica: ao ocuparem espaços em que poucas outras lideranças estudantis estavam presentes, controlavam a representação do movimento estudantil e podiam apresentar uma face menos confrontacional ao meio cívico.</w:t>
      </w:r>
    </w:p>
    <w:p>
      <w:pPr>
        <w:pStyle w:val="Heading1"/>
      </w:pPr>
      <w:r>
        <w:rPr>
          <w:rFonts w:ascii="Times New Roman" w:cs="Times New Roman" w:eastAsia="Times New Roman" w:hAnsi="Times New Roman"/>
          <w:b/>
          <w:bCs/>
        </w:rPr>
        <w:t xml:space="preserve">7. Tradução para o cycle_phases: os scores da emergência</w:t>
      </w:r>
    </w:p>
    <w:p>
      <w:pPr>
        <w:spacing w:after="160" w:line="300"/>
        <w:jc w:val="both"/>
      </w:pPr>
      <w:r>
        <w:rPr>
          <w:rFonts w:ascii="Times New Roman" w:cs="Times New Roman" w:eastAsia="Times New Roman" w:hAnsi="Times New Roman"/>
          <w:sz w:val="24"/>
          <w:szCs w:val="24"/>
        </w:rPr>
        <w:t xml:space="preserve">Sob a periodização revisada, a fase de articulação corresponde à emergência do ciclo Fora Collor, com o intervalo de 1991-11-01 a 1992-05-31. Os scores contextuais atribuídos a essa fase no dataset cycle_phases (v4) refletem o caráter incipiente da articulação, e não o patamar mais elevado que essas mesmas variáveis atingiriam a partir de junho de 1992:</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Variável</w:t>
            </w:r>
          </w:p>
        </w:tc>
        <w:tc>
          <w:tcPr>
            <w:tcW w:type="dxa" w:w="900"/>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Score</w:t>
            </w:r>
          </w:p>
        </w:tc>
        <w:tc>
          <w:tcPr>
            <w:tcW w:type="dxa" w:w="5126"/>
            <w:tcBorders>
              <w:top w:val="single" w:color="1F4E79" w:sz="1"/>
              <w:left w:val="single" w:color="1F4E79" w:sz="1"/>
              <w:bottom w:val="single" w:color="1F4E79" w:sz="1"/>
              <w:right w:val="single" w:color="1F4E79" w:sz="1"/>
            </w:tcBorders>
            <w:shd w:fill="1F4E7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FFFFFF"/>
                <w:sz w:val="18"/>
                <w:szCs w:val="18"/>
              </w:rPr>
              <w:t xml:space="preserve">Justificativa (fase de articulação)</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op_abertura_institucional</w:t>
            </w:r>
          </w:p>
        </w:tc>
        <w:tc>
          <w:tcPr>
            <w:tcW w:type="dxa" w:w="9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2</w:t>
            </w:r>
          </w:p>
        </w:tc>
        <w:tc>
          <w:tcPr>
            <w:tcW w:type="dxa" w:w="5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Democracia consolidada; mecanismo de impeachment disponível, mas ainda não acionado.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op_divisao_elites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w:t>
            </w:r>
          </w:p>
        </w:tc>
        <w:tc>
          <w:tcPr>
            <w:tcW w:type="dxa" w:w="5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Collor politicamente isolado e base congressual irritada, mas sem defecção aberta antes do escândalo.</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op_aliados_influentes</w:t>
            </w:r>
          </w:p>
        </w:tc>
        <w:tc>
          <w:tcPr>
            <w:tcW w:type="dxa" w:w="9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w:t>
            </w:r>
          </w:p>
        </w:tc>
        <w:tc>
          <w:tcPr>
            <w:tcW w:type="dxa" w:w="5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Fóruns cívicos em formação; partidos de oposição presentes, porém cautelosos.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op_crise_legitimidade</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2</w:t>
            </w:r>
          </w:p>
        </w:tc>
        <w:tc>
          <w:tcPr>
            <w:tcW w:type="dxa" w:w="5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Popularidade desabada após o fracasso dos dois pacotes econômicos; crise instalada, mas ainda não aguda.</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op_repressao</w:t>
            </w:r>
          </w:p>
        </w:tc>
        <w:tc>
          <w:tcPr>
            <w:tcW w:type="dxa" w:w="9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w:t>
            </w:r>
          </w:p>
        </w:tc>
        <w:tc>
          <w:tcPr>
            <w:tcW w:type="dxa" w:w="5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Contexto democrático; repressão institucional ao protesto ausente.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traducao_institucional</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0</w:t>
            </w:r>
          </w:p>
        </w:tc>
        <w:tc>
          <w:tcPr>
            <w:tcW w:type="dxa" w:w="5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Nenhuma tradução institucional nesta fase.</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od_visibilidade_midia</w:t>
            </w:r>
          </w:p>
        </w:tc>
        <w:tc>
          <w:tcPr>
            <w:tcW w:type="dxa" w:w="9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w:t>
            </w:r>
          </w:p>
        </w:tc>
        <w:tc>
          <w:tcPr>
            <w:tcW w:type="dxa" w:w="5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Recepção midiática favorável, porém discreta; fóruns cívicos de baixa visibilidade de massa.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od_ressonancia_discursiva</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w:t>
            </w:r>
          </w:p>
        </w:tc>
        <w:tc>
          <w:tcPr>
            <w:tcW w:type="dxa" w:w="5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Slogan Fora Collor recém-nascido no meio estudantil (IX CONEB); penetração pública ainda restrita.</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od_legitimidade_narrativa</w:t>
            </w:r>
          </w:p>
        </w:tc>
        <w:tc>
          <w:tcPr>
            <w:tcW w:type="dxa" w:w="9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1</w:t>
            </w:r>
          </w:p>
        </w:tc>
        <w:tc>
          <w:tcPr>
            <w:tcW w:type="dxa" w:w="5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9"/>
                <w:szCs w:val="19"/>
              </w:rPr>
              <w:t xml:space="preserve">Narrativa ética em construção, disputada por tensões partidárias entre PT e PSDB.</w:t>
            </w:r>
          </w:p>
        </w:tc>
      </w:tr>
    </w:tbl>
    <w:p>
      <w:pPr>
        <w:spacing w:after="120"/>
      </w:pPr>
    </w:p>
    <w:p>
      <w:pPr>
        <w:spacing w:after="160" w:line="300"/>
        <w:jc w:val="both"/>
      </w:pPr>
      <w:r>
        <w:rPr>
          <w:rFonts w:ascii="Times New Roman" w:cs="Times New Roman" w:eastAsia="Times New Roman" w:hAnsi="Times New Roman"/>
          <w:sz w:val="24"/>
          <w:szCs w:val="24"/>
        </w:rPr>
        <w:t xml:space="preserve">Em relação à versão anterior do dataset, três scores foram rebaixados nesta fase — divisão de elites, visibilidade midiática e legitimidade narrativa —, precisamente porque o intervalo agora medido antecede o escândalo de maio de 1992 e a mobilização de massa de agosto. Registrar valores altos nessas variáveis para o período de articulação seria retroprojetar condições que só se realizariam meses depois.</w:t>
      </w:r>
    </w:p>
    <w:p>
      <w:pPr>
        <w:pStyle w:val="Heading1"/>
      </w:pPr>
      <w:r>
        <w:rPr>
          <w:rFonts w:ascii="Times New Roman" w:cs="Times New Roman" w:eastAsia="Times New Roman" w:hAnsi="Times New Roman"/>
          <w:b/>
          <w:bCs/>
        </w:rPr>
        <w:t xml:space="preserve">8. Implicações comparativas: articulação presente vs. ausente</w:t>
      </w:r>
    </w:p>
    <w:p>
      <w:pPr>
        <w:spacing w:after="160" w:line="300"/>
        <w:jc w:val="both"/>
      </w:pPr>
      <w:r>
        <w:rPr>
          <w:rFonts w:ascii="Times New Roman" w:cs="Times New Roman" w:eastAsia="Times New Roman" w:hAnsi="Times New Roman"/>
          <w:sz w:val="24"/>
          <w:szCs w:val="24"/>
        </w:rPr>
        <w:t xml:space="preserve">A consolidação da fase de articulação do Fora Collor reforça um dos contrastes centrais do projeto. O ciclo de 1992 dispõe de uma fase de articulação de aproximadamente seis meses, em que uma coalizão intersetorial é pacientemente construída em fóruns cívicos antes de a mobilização de rua explodir. O ciclo de Junho de 2013, ao contrário, não apresenta fase análoga: irrompe a partir de uma demanda específica (a tarifa) conduzida por um ator autônomo (o MPL) que recusa deliberadamente a articulação com aliados institucionais.</w:t>
      </w:r>
    </w:p>
    <w:p>
      <w:pPr>
        <w:spacing w:after="160" w:line="300"/>
        <w:jc w:val="both"/>
      </w:pPr>
      <w:r>
        <w:rPr>
          <w:rFonts w:ascii="Times New Roman" w:cs="Times New Roman" w:eastAsia="Times New Roman" w:hAnsi="Times New Roman"/>
          <w:sz w:val="24"/>
          <w:szCs w:val="24"/>
        </w:rPr>
        <w:t xml:space="preserve">Essa diferença tem consequências para a trajetória dos dois ciclos. No Fora Collor, a articulação prévia dota o ciclo de uma coalizão ampla e de corretores capazes de traduzir a mobilização em resultado institucional — o impeachment consumado pelo canal demandado. Em Junho de 2013, a ausência de articulação e de aliados influentes produz um ciclo de alta intensidade e baixa tradução institucional, cuja demanda original se dissolve no auge da mobilização. A fase de articulação, portanto, não é um mero prelúdio: é uma variável que ajuda a explicar por que ciclos com mobilização comparável terminam de modos tão distintos.</w:t>
      </w:r>
    </w:p>
    <w:p>
      <w:pPr>
        <w:spacing w:after="160" w:line="300"/>
        <w:jc w:val="both"/>
      </w:pPr>
      <w:r>
        <w:rPr>
          <w:rFonts w:ascii="Times New Roman" w:cs="Times New Roman" w:eastAsia="Times New Roman" w:hAnsi="Times New Roman"/>
          <w:sz w:val="24"/>
          <w:szCs w:val="24"/>
        </w:rPr>
        <w:t xml:space="preserve">Registre-se, porém, uma ressalva metodológica. Estabelecer que Junho de 2013 “não tem” fase de articulação exige o mesmo rigor empírico aplicado aqui ao Fora Collor. A afirmação deve ser testada contra o banco protest_events do ciclo de 2013 — verificando se há, ou não, atividade de construção de coalizão nos meses anteriores a junho — e não assumida por contraste com o caso de 1992.</w:t>
      </w:r>
    </w:p>
    <w:p>
      <w:pPr>
        <w:pStyle w:val="Heading1"/>
      </w:pPr>
      <w:r>
        <w:rPr>
          <w:rFonts w:ascii="Times New Roman" w:cs="Times New Roman" w:eastAsia="Times New Roman" w:hAnsi="Times New Roman"/>
          <w:b/>
          <w:bCs/>
        </w:rPr>
        <w:t xml:space="preserve">9. Limites e verificações pendentes</w:t>
      </w:r>
    </w:p>
    <w:p>
      <w:pPr>
        <w:pStyle w:val="ListParagraph"/>
        <w:numPr>
          <w:ilvl w:val="0"/>
          <w:numId w:val="2"/>
        </w:numPr>
        <w:spacing w:after="100" w:line="300"/>
      </w:pPr>
      <w:r>
        <w:rPr>
          <w:rFonts w:ascii="Times New Roman" w:cs="Times New Roman" w:eastAsia="Times New Roman" w:hAnsi="Times New Roman"/>
          <w:sz w:val="24"/>
          <w:szCs w:val="24"/>
        </w:rPr>
        <w:t xml:space="preserve">A datação e a caracterização de todos os eventos desta fase provêm de uma única fonte secundária (Mische, 2008). A triangulação com fontes primárias (Acervo Folha, documentos da UNE) permanece pendente.</w:t>
      </w:r>
    </w:p>
    <w:p>
      <w:pPr>
        <w:pStyle w:val="ListParagraph"/>
        <w:numPr>
          <w:ilvl w:val="0"/>
          <w:numId w:val="2"/>
        </w:numPr>
        <w:spacing w:after="100" w:line="300"/>
      </w:pPr>
      <w:r>
        <w:rPr>
          <w:rFonts w:ascii="Times New Roman" w:cs="Times New Roman" w:eastAsia="Times New Roman" w:hAnsi="Times New Roman"/>
          <w:sz w:val="24"/>
          <w:szCs w:val="24"/>
        </w:rPr>
        <w:t xml:space="preserve">Três eventos da Tabela 5.1 têm caráter de rua não confirmado no texto (Fora Collor Já; Vigília Contra a Recessão; e, na fase seguinte, Eco dos Oprimidos) e foram tratados com cautela.</w:t>
      </w:r>
    </w:p>
    <w:p>
      <w:pPr>
        <w:pStyle w:val="ListParagraph"/>
        <w:numPr>
          <w:ilvl w:val="0"/>
          <w:numId w:val="2"/>
        </w:numPr>
        <w:spacing w:after="100" w:line="300"/>
      </w:pPr>
      <w:r>
        <w:rPr>
          <w:rFonts w:ascii="Times New Roman" w:cs="Times New Roman" w:eastAsia="Times New Roman" w:hAnsi="Times New Roman"/>
          <w:sz w:val="24"/>
          <w:szCs w:val="24"/>
        </w:rPr>
        <w:t xml:space="preserve">A fonte apresenta uma discrepância interna quanto à data do relatório da CPI (26 de agosto no texto; 27 de agosto na nota da figura), relevante para a fase seguinte, não para a articulação.</w:t>
      </w:r>
    </w:p>
    <w:p>
      <w:pPr>
        <w:pStyle w:val="ListParagraph"/>
        <w:numPr>
          <w:ilvl w:val="0"/>
          <w:numId w:val="2"/>
        </w:numPr>
        <w:spacing w:after="100" w:line="300"/>
      </w:pPr>
      <w:r>
        <w:rPr>
          <w:rFonts w:ascii="Times New Roman" w:cs="Times New Roman" w:eastAsia="Times New Roman" w:hAnsi="Times New Roman"/>
          <w:sz w:val="24"/>
          <w:szCs w:val="24"/>
        </w:rPr>
        <w:t xml:space="preserve">Os scores da fase de articulação são hipóteses analíticas preliminares e devem ser submetidos à codificação independente e ao cálculo de confiabilidade (Cohen's Kappa) previstos para o projeto.</w:t>
      </w:r>
    </w:p>
    <w:p>
      <w:r>
        <w:br w:type="page"/>
      </w:r>
    </w:p>
    <w:p>
      <w:pPr>
        <w:pStyle w:val="Heading1"/>
      </w:pPr>
      <w:r>
        <w:rPr>
          <w:rFonts w:ascii="Times New Roman" w:cs="Times New Roman" w:eastAsia="Times New Roman" w:hAnsi="Times New Roman"/>
          <w:b/>
          <w:bCs/>
        </w:rPr>
        <w:t xml:space="preserve">Declaração de uso de inteligência artificial</w:t>
      </w:r>
    </w:p>
    <w:p>
      <w:pPr>
        <w:spacing w:after="160" w:line="300"/>
        <w:jc w:val="both"/>
      </w:pPr>
      <w:r>
        <w:rPr>
          <w:rFonts w:ascii="Times New Roman" w:cs="Times New Roman" w:eastAsia="Times New Roman" w:hAnsi="Times New Roman"/>
          <w:sz w:val="24"/>
          <w:szCs w:val="24"/>
        </w:rPr>
        <w:t xml:space="preserve">Este documento foi elaborado com assistência do modelo de linguagem Claude (Anthropic) na leitura e sistematização do capítulo 5 e da Tabela 5.1 de Mische (2008), na organização da cronologia e na redação. A extração dos dados foi feita a partir de documento fornecido pelo autor. A interpretação, a atribuição dos scores e a responsabilidade integral pelo conteúdo são do autor. Nenhum dado empírico foi gerado sem correspondência à fonte.</w:t>
      </w:r>
    </w:p>
    <w:p>
      <w:pPr>
        <w:pStyle w:val="Heading1"/>
      </w:pPr>
      <w:r>
        <w:rPr>
          <w:rFonts w:ascii="Times New Roman" w:cs="Times New Roman" w:eastAsia="Times New Roman" w:hAnsi="Times New Roman"/>
          <w:b/>
          <w:bCs/>
        </w:rPr>
        <w:t xml:space="preserve">Declaração de disponibilidade de dados</w:t>
      </w:r>
    </w:p>
    <w:p>
      <w:pPr>
        <w:spacing w:after="160" w:line="300"/>
        <w:jc w:val="both"/>
      </w:pPr>
      <w:r>
        <w:rPr>
          <w:rFonts w:ascii="Times New Roman" w:cs="Times New Roman" w:eastAsia="Times New Roman" w:hAnsi="Times New Roman"/>
          <w:sz w:val="24"/>
          <w:szCs w:val="24"/>
        </w:rPr>
        <w:t xml:space="preserve">Os eventos de rua desta fase integram o arquivo protest_events_fora_collor_seed.xlsx. Os scores da fase de articulação integram o dataset cycle_phases_v4.xlsx, fase de emergência do ciclo Fora Collor. Ambos constituem versões de trabalho, com dados preliminares sujeitos a verificação.</w:t>
      </w:r>
    </w:p>
    <w:p>
      <w:pPr>
        <w:pStyle w:val="Heading1"/>
      </w:pPr>
      <w:r>
        <w:rPr>
          <w:rFonts w:ascii="Times New Roman" w:cs="Times New Roman" w:eastAsia="Times New Roman" w:hAnsi="Times New Roman"/>
          <w:b/>
          <w:bCs/>
        </w:rPr>
        <w:t xml:space="preserve">Referências</w:t>
      </w:r>
    </w:p>
    <w:p>
      <w:pPr>
        <w:spacing w:after="160" w:line="300"/>
        <w:jc w:val="both"/>
      </w:pPr>
      <w:r>
        <w:rPr>
          <w:rFonts w:ascii="Times New Roman" w:cs="Times New Roman" w:eastAsia="Times New Roman" w:hAnsi="Times New Roman"/>
          <w:sz w:val="24"/>
          <w:szCs w:val="24"/>
        </w:rPr>
        <w:t xml:space="preserve">ALONSO, Angela; MISCHE, Ann. Changing Repertoires and Partisan Ambivalence in the New Brazilian Protests. Bulletin of Latin American Research, v. 36, n. 2, p. 144-159, 2017.</w:t>
      </w:r>
    </w:p>
    <w:p>
      <w:pPr>
        <w:spacing w:after="160" w:line="300"/>
        <w:jc w:val="both"/>
      </w:pPr>
      <w:r>
        <w:rPr>
          <w:rFonts w:ascii="Times New Roman" w:cs="Times New Roman" w:eastAsia="Times New Roman" w:hAnsi="Times New Roman"/>
          <w:sz w:val="24"/>
          <w:szCs w:val="24"/>
        </w:rPr>
        <w:t xml:space="preserve">McADAM, Doug; TARROW, Sidney; TILLY, Charles. Dynamics of Contention. Cambridge: Cambridge University Press, 2001.</w:t>
      </w:r>
    </w:p>
    <w:p>
      <w:pPr>
        <w:spacing w:after="160" w:line="300"/>
        <w:jc w:val="both"/>
      </w:pPr>
      <w:r>
        <w:rPr>
          <w:rFonts w:ascii="Times New Roman" w:cs="Times New Roman" w:eastAsia="Times New Roman" w:hAnsi="Times New Roman"/>
          <w:sz w:val="24"/>
          <w:szCs w:val="24"/>
        </w:rPr>
        <w:t xml:space="preserve">MISCHE, Ann. Partisan Publics: communication and contention across Brazilian youth activist networks. Princeton: Princeton University Press, 2008.</w:t>
      </w:r>
    </w:p>
    <w:p>
      <w:pPr>
        <w:spacing w:after="160" w:line="300"/>
        <w:jc w:val="both"/>
      </w:pPr>
      <w:r>
        <w:rPr>
          <w:rFonts w:ascii="Times New Roman" w:cs="Times New Roman" w:eastAsia="Times New Roman" w:hAnsi="Times New Roman"/>
          <w:sz w:val="24"/>
          <w:szCs w:val="24"/>
        </w:rPr>
        <w:t xml:space="preserve">TARROW, Sidney. Power in Movement: social movements and contentious politics. Cambridge: Cambridge University Press, 1994.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2026-07-12T16:40:31.687Z</dcterms:created>
  <dcterms:modified xsi:type="dcterms:W3CDTF">2026-07-12T16:40:31.706Z</dcterms:modified>
</cp:coreProperties>
</file>

<file path=docProps/custom.xml><?xml version="1.0" encoding="utf-8"?>
<Properties xmlns="http://schemas.openxmlformats.org/officeDocument/2006/custom-properties" xmlns:vt="http://schemas.openxmlformats.org/officeDocument/2006/docPropsVTypes"/>
</file>