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28"/>
          <w:szCs w:val="28"/>
        </w:rPr>
        <w:t xml:space="preserve">Ciclos de protesto no Brasil (1985–presente): uma matriz analítica para a Teoria do Processo Político entre oportunidades políticas, oportunidades discursivas e análise de conjuntura</w:t>
      </w:r>
    </w:p>
    <w:p>
      <w:pPr>
        <w:spacing w:after="60" w:line="360"/>
        <w:jc w:val="center"/>
      </w:pPr>
      <w:r>
        <w:rPr>
          <w:rFonts w:ascii="Times New Roman" w:cs="Times New Roman" w:eastAsia="Times New Roman" w:hAnsi="Times New Roman"/>
          <w:i/>
          <w:iCs/>
          <w:sz w:val="22"/>
          <w:szCs w:val="22"/>
        </w:rPr>
        <w:t xml:space="preserve">Protest cycles in Brazil (1985–present): an analytical matrix for Political Process Theory across political opportunities, discursive opportunities, and conjunctural analysis</w:t>
      </w:r>
    </w:p>
    <w:p>
      <w:pPr>
        <w:spacing w:after="40" w:line="240"/>
        <w:jc w:val="right"/>
      </w:pPr>
      <w:r>
        <w:rPr>
          <w:rFonts w:ascii="Times New Roman" w:cs="Times New Roman" w:eastAsia="Times New Roman" w:hAnsi="Times New Roman"/>
          <w:sz w:val="24"/>
          <w:szCs w:val="24"/>
        </w:rPr>
        <w:t xml:space="preserve">Gustavo Costa</w:t>
      </w:r>
    </w:p>
    <w:p>
      <w:pPr>
        <w:spacing w:after="280" w:line="240"/>
        <w:jc w:val="right"/>
      </w:pPr>
      <w:r>
        <w:rPr>
          <w:rFonts w:ascii="Times New Roman" w:cs="Times New Roman" w:eastAsia="Times New Roman" w:hAnsi="Times New Roman"/>
          <w:i/>
          <w:iCs/>
          <w:sz w:val="20"/>
          <w:szCs w:val="20"/>
        </w:rPr>
        <w:t xml:space="preserve">[filiação institucional a completar]</w:t>
      </w:r>
    </w:p>
    <w:p>
      <w:pPr>
        <w:spacing w:after="80" w:line="360"/>
      </w:pPr>
      <w:r>
        <w:rPr>
          <w:rFonts w:ascii="Times New Roman" w:cs="Times New Roman" w:eastAsia="Times New Roman" w:hAnsi="Times New Roman"/>
          <w:b/>
          <w:bCs/>
          <w:sz w:val="24"/>
          <w:szCs w:val="24"/>
        </w:rPr>
        <w:t xml:space="preserve">Resumo</w:t>
      </w:r>
    </w:p>
    <w:p>
      <w:pPr>
        <w:spacing w:after="80" w:line="240"/>
        <w:jc w:val="both"/>
      </w:pPr>
      <w:r>
        <w:rPr>
          <w:rFonts w:ascii="Times New Roman" w:cs="Times New Roman" w:eastAsia="Times New Roman" w:hAnsi="Times New Roman"/>
          <w:sz w:val="20"/>
          <w:szCs w:val="20"/>
        </w:rPr>
        <w:t xml:space="preserve">Este artigo propõe uma matriz analítica para o estudo comparado dos ciclos de protesto no Brasil desde a redemocratização (1985) até o presente, articulando três vertentes teóricas usualmente tratadas em separado: as Estruturas de Oportunidade Política (EOP), as Estruturas de Oportunidade Discursiva (EOD) e a tradição brasileira de análise de conjuntura. A partir da Teoria do Processo Político (McAdam, Tarrow e Tilly), argumenta-se que a integração dessas três vertentes permite superar tanto o estruturalismo excessivo das leituras clássicas de oportunidade política quanto o culturalismo desancorado de certas abordagens de enquadramento. O texto sistematiza um mapeamento preliminar de dezoito episódios contenciosos e apresenta uma matriz de dimensões analíticas por episódio. No plano metodológico, propõe-se um desenho de métodos mistos que combina Análise de Eventos de Protesto (AEP) com fonte primária no Acervo Folha de S.Paulo, Análise Comparativa Qualitativa (QCA) e métodos de Mill para a comparação entre casos, e process tracing para a reconstrução de mecanismos causais intracaso. Enfatiza-se, ao longo do texto, o estatuto provisório dos escores atribuídos às dimensões, que constituem hipóteses analíticas a validar empiricamente, e não medidas consolidadas.</w:t>
      </w:r>
    </w:p>
    <w:p>
      <w:pPr>
        <w:spacing w:after="160" w:line="240"/>
        <w:jc w:val="both"/>
      </w:pPr>
      <w:r>
        <w:rPr>
          <w:rFonts w:ascii="Times New Roman" w:cs="Times New Roman" w:eastAsia="Times New Roman" w:hAnsi="Times New Roman"/>
          <w:b/>
          <w:bCs/>
          <w:sz w:val="20"/>
          <w:szCs w:val="20"/>
        </w:rPr>
        <w:t xml:space="preserve">Palavras-chave: </w:t>
      </w:r>
      <w:r>
        <w:rPr>
          <w:rFonts w:ascii="Times New Roman" w:cs="Times New Roman" w:eastAsia="Times New Roman" w:hAnsi="Times New Roman"/>
          <w:sz w:val="20"/>
          <w:szCs w:val="20"/>
        </w:rPr>
        <w:t xml:space="preserve">ciclos de protesto; Teoria do Processo Político; oportunidades políticas; oportunidades discursivas; análise de conjuntura; análise de eventos de protesto.</w:t>
      </w:r>
    </w:p>
    <w:p>
      <w:pPr>
        <w:spacing w:after="80" w:line="360"/>
      </w:pPr>
      <w:r>
        <w:rPr>
          <w:rFonts w:ascii="Times New Roman" w:cs="Times New Roman" w:eastAsia="Times New Roman" w:hAnsi="Times New Roman"/>
          <w:b/>
          <w:bCs/>
          <w:i/>
          <w:iCs/>
          <w:sz w:val="24"/>
          <w:szCs w:val="24"/>
        </w:rPr>
        <w:t xml:space="preserve">Abstract</w:t>
      </w:r>
    </w:p>
    <w:p>
      <w:pPr>
        <w:spacing w:after="80" w:line="240"/>
        <w:jc w:val="both"/>
      </w:pPr>
      <w:r>
        <w:rPr>
          <w:rFonts w:ascii="Times New Roman" w:cs="Times New Roman" w:eastAsia="Times New Roman" w:hAnsi="Times New Roman"/>
          <w:i/>
          <w:iCs/>
          <w:sz w:val="20"/>
          <w:szCs w:val="20"/>
        </w:rPr>
        <w:t xml:space="preserve">This article proposes an analytical matrix for the comparative study of protest cycles in Brazil from the return to democracy (1985) to the present, bringing together three theoretical strands usually treated separately: political opportunity structures (POS), discursive opportunity structures (DOS), and the Brazilian tradition of conjunctural analysis (análise de conjuntura). Drawing on Political Process Theory (McAdam, Tarrow, and Tilly), it argues that integrating these strands helps overcome both the excessive structuralism of classic opportunity accounts and the ungrounded culturalism of some framing approaches. The article systematizes a preliminary mapping of eighteen contentious episodes and presents a matrix of analytical dimensions per episode. Methodologically, it proposes a mixed-methods design combining Protest Event Analysis (PEA), with the Folha de S.Paulo digital archive as the primary source, Qualitative Comparative Analysis (QCA) and Mill's methods for cross-case comparison, and process tracing for within-case causal reconstruction. Throughout, the provisional status of the scores assigned to each dimension is emphasized: they are analytical hypotheses to be validated empirically, not consolidated measurements.</w:t>
      </w:r>
    </w:p>
    <w:p>
      <w:pPr>
        <w:spacing w:after="200" w:line="240"/>
        <w:jc w:val="both"/>
      </w:pPr>
      <w:r>
        <w:rPr>
          <w:rFonts w:ascii="Times New Roman" w:cs="Times New Roman" w:eastAsia="Times New Roman" w:hAnsi="Times New Roman"/>
          <w:b/>
          <w:bCs/>
          <w:i/>
          <w:iCs/>
          <w:sz w:val="20"/>
          <w:szCs w:val="20"/>
        </w:rPr>
        <w:t xml:space="preserve">Keywords: </w:t>
      </w:r>
      <w:r>
        <w:rPr>
          <w:rFonts w:ascii="Times New Roman" w:cs="Times New Roman" w:eastAsia="Times New Roman" w:hAnsi="Times New Roman"/>
          <w:i/>
          <w:iCs/>
          <w:sz w:val="20"/>
          <w:szCs w:val="20"/>
        </w:rPr>
        <w:t xml:space="preserve">protest cycles; Political Process Theory; political opportunities; discursive opportunities; conjunctural analysis; protest event analysis.</w:t>
      </w:r>
    </w:p>
    <w:p>
      <w:pPr>
        <w:pStyle w:val="Heading1"/>
        <w:keepNext/>
        <w:spacing w:after="160" w:before="280" w:line="360"/>
      </w:pPr>
      <w:r>
        <w:rPr>
          <w:rFonts w:ascii="Times New Roman" w:cs="Times New Roman" w:eastAsia="Times New Roman" w:hAnsi="Times New Roman"/>
          <w:b/>
          <w:bCs/>
          <w:sz w:val="24"/>
          <w:szCs w:val="24"/>
        </w:rPr>
        <w:t xml:space="preserve">1 Introdução</w:t>
      </w:r>
    </w:p>
    <w:p>
      <w:pPr>
        <w:spacing w:after="120" w:line="360"/>
        <w:ind w:firstLine="709"/>
        <w:jc w:val="both"/>
      </w:pPr>
      <w:r>
        <w:rPr>
          <w:rFonts w:ascii="Times New Roman" w:cs="Times New Roman" w:eastAsia="Times New Roman" w:hAnsi="Times New Roman"/>
          <w:sz w:val="24"/>
          <w:szCs w:val="24"/>
        </w:rPr>
        <w:t xml:space="preserve">Desde a redemocratização, a política de rua tornou-se um componente recorrente e estruturante da vida pública brasileira. Das mobilizações finais pelas Diretas Já, em 1985, ao movimento dos Caras Pintadas que precipitou o impeachment de Collor, das Jornadas de Junho de 2013 ao ciclo pró-impeachment de 2015-2016, e das mobilizações antidemocráticas que culminaram no 8 de Janeiro de 2023, os protestos deixaram de ser episódios excepcionais para constituir um repertório permanente de intervenção na disputa política. Compreender o que aproxima e o que distingue esses episódios exige um instrumental analítico capaz de articular estrutura e agência, contexto institucional e disputa simbólica, oportunidade e enquadramento.</w:t>
      </w:r>
    </w:p>
    <w:p>
      <w:pPr>
        <w:spacing w:after="120" w:line="360"/>
        <w:ind w:firstLine="709"/>
        <w:jc w:val="both"/>
      </w:pPr>
      <w:r>
        <w:rPr>
          <w:rFonts w:ascii="Times New Roman" w:cs="Times New Roman" w:eastAsia="Times New Roman" w:hAnsi="Times New Roman"/>
          <w:sz w:val="24"/>
          <w:szCs w:val="24"/>
        </w:rPr>
        <w:t xml:space="preserve">A Teoria do Processo Político (doravante TPP), consolidada por McAdam, Tarrow e Tilly (2001) em </w:t>
      </w:r>
      <w:r>
        <w:rPr>
          <w:rFonts w:ascii="Times New Roman" w:cs="Times New Roman" w:eastAsia="Times New Roman" w:hAnsi="Times New Roman"/>
          <w:i/>
          <w:iCs/>
          <w:sz w:val="24"/>
          <w:szCs w:val="24"/>
        </w:rPr>
        <w:t xml:space="preserve">Dynamics of Contention</w:t>
      </w:r>
      <w:r>
        <w:rPr>
          <w:rFonts w:ascii="Times New Roman" w:cs="Times New Roman" w:eastAsia="Times New Roman" w:hAnsi="Times New Roman"/>
          <w:sz w:val="24"/>
          <w:szCs w:val="24"/>
        </w:rPr>
        <w:t xml:space="preserve">, oferece o principal arcabouço para essa articulação. Seus conceitos centrais — estruturas de oportunidade política, estruturas de mobilização e processos de enquadramento — organizam décadas de pesquisa sobre ação coletiva. No entanto, duas lacunas persistem quando se busca aplicá-la ao caso brasileiro. A primeira é a subteorização da dimensão discursiva: as leituras clássicas de oportunidade política tendem a privilegiar variáveis estruturais-institucionais, relegando a disputa simbólica a um resíduo. A segunda é a ausência de diálogo entre a TPP e a tradição brasileira de análise de conjuntura, que oferece ferramentas próprias para captar a fluidez dos momentos críticos.</w:t>
      </w:r>
    </w:p>
    <w:p>
      <w:pPr>
        <w:spacing w:after="120" w:line="360"/>
        <w:ind w:firstLine="709"/>
        <w:jc w:val="both"/>
      </w:pPr>
      <w:r>
        <w:rPr>
          <w:rFonts w:ascii="Times New Roman" w:cs="Times New Roman" w:eastAsia="Times New Roman" w:hAnsi="Times New Roman"/>
          <w:sz w:val="24"/>
          <w:szCs w:val="24"/>
        </w:rPr>
        <w:t xml:space="preserve">Este artigo enfrenta ambas as lacunas. Seu objetivo geral é propor uma matriz analítica integrada que articule Estruturas de Oportunidade Política (EOP), Estruturas de Oportunidade Discursiva (EOD) e análise de conjuntura como nós de um mesmo triângulo conceitual. Especificamente, o texto (i) sistematiza um mapeamento preliminar dos episódios contenciosos brasileiros desde 1985; (ii) apresenta uma matriz de dimensões analíticas derivada da TPP; e (iii) especifica um desenho metodológico de métodos mistos apto a converter essa matriz em pesquisa empírica verificável.</w:t>
      </w:r>
    </w:p>
    <w:p>
      <w:pPr>
        <w:spacing w:after="120" w:line="360"/>
        <w:ind w:firstLine="709"/>
        <w:jc w:val="both"/>
      </w:pPr>
      <w:r>
        <w:rPr>
          <w:rFonts w:ascii="Times New Roman" w:cs="Times New Roman" w:eastAsia="Times New Roman" w:hAnsi="Times New Roman"/>
          <w:sz w:val="24"/>
          <w:szCs w:val="24"/>
        </w:rPr>
        <w:t xml:space="preserve">A questão central que orienta a investigação pode ser assim formulada: </w:t>
      </w:r>
      <w:r>
        <w:rPr>
          <w:rFonts w:ascii="Times New Roman" w:cs="Times New Roman" w:eastAsia="Times New Roman" w:hAnsi="Times New Roman"/>
          <w:i/>
          <w:iCs/>
          <w:sz w:val="24"/>
          <w:szCs w:val="24"/>
        </w:rPr>
        <w:t xml:space="preserve">de que modo a interação entre configurações de oportunidade política e configurações de oportunidade discursiva, lida à luz da dinâmica conjuntural, condiciona a emergência, a trajetória e os desfechos institucionais dos ciclos de protesto brasileiros?</w:t>
      </w:r>
      <w:r>
        <w:rPr>
          <w:rFonts w:ascii="Times New Roman" w:cs="Times New Roman" w:eastAsia="Times New Roman" w:hAnsi="Times New Roman"/>
          <w:sz w:val="24"/>
          <w:szCs w:val="24"/>
        </w:rPr>
        <w:t xml:space="preserve"> Trata-se de uma questão comparativa e processual, que não se satisfaz com a descrição dos episódios, mas busca reconstruir os mecanismos que ligam contexto e resultado.</w:t>
      </w:r>
    </w:p>
    <w:p>
      <w:pPr>
        <w:spacing w:after="120" w:line="360"/>
        <w:ind w:firstLine="709"/>
        <w:jc w:val="both"/>
      </w:pPr>
      <w:r>
        <w:rPr>
          <w:rFonts w:ascii="Times New Roman" w:cs="Times New Roman" w:eastAsia="Times New Roman" w:hAnsi="Times New Roman"/>
          <w:sz w:val="24"/>
          <w:szCs w:val="24"/>
        </w:rPr>
        <w:t xml:space="preserve">Uma advertência epistemológica atravessa todo o texto e merece registro desde já. O mapeamento e a matriz aqui apresentados têm estatuto provisório. Os escores atribuídos às dimensões analíticas — discutidos na seção 5 — são estimativas construídas a partir da literatura secundária e do conhecimento acumulado sobre os casos; não são medidas obtidas por codificação sistematizada e validada. Constituem, portanto, hipóteses de trabalho a serem testadas contra o banco de eventos de protesto em construção e contra a reconstrução processual de cada caso. Sinalizar essa fronteira entre o que já se sabe e o que ainda se conjectura é condição de honestidade metodológica, e não concessão retórica.</w:t>
      </w:r>
    </w:p>
    <w:p>
      <w:pPr>
        <w:pStyle w:val="Heading1"/>
        <w:keepNext/>
        <w:spacing w:after="160" w:before="280" w:line="360"/>
      </w:pPr>
      <w:r>
        <w:rPr>
          <w:rFonts w:ascii="Times New Roman" w:cs="Times New Roman" w:eastAsia="Times New Roman" w:hAnsi="Times New Roman"/>
          <w:b/>
          <w:bCs/>
          <w:sz w:val="24"/>
          <w:szCs w:val="24"/>
        </w:rPr>
        <w:t xml:space="preserve">2 A Teoria do Processo Político e suas três frentes</w:t>
      </w:r>
    </w:p>
    <w:p>
      <w:pPr>
        <w:pStyle w:val="Heading2"/>
        <w:keepNext/>
        <w:spacing w:after="160" w:before="280" w:line="360"/>
      </w:pPr>
      <w:r>
        <w:rPr>
          <w:rFonts w:ascii="Times New Roman" w:cs="Times New Roman" w:eastAsia="Times New Roman" w:hAnsi="Times New Roman"/>
          <w:b/>
          <w:bCs/>
          <w:sz w:val="24"/>
          <w:szCs w:val="24"/>
        </w:rPr>
        <w:t xml:space="preserve">2.1 Estruturas de oportunidade política</w:t>
      </w:r>
    </w:p>
    <w:p>
      <w:pPr>
        <w:spacing w:after="120" w:line="360"/>
        <w:ind w:firstLine="709"/>
        <w:jc w:val="both"/>
      </w:pPr>
      <w:r>
        <w:rPr>
          <w:rFonts w:ascii="Times New Roman" w:cs="Times New Roman" w:eastAsia="Times New Roman" w:hAnsi="Times New Roman"/>
          <w:sz w:val="24"/>
          <w:szCs w:val="24"/>
        </w:rPr>
        <w:t xml:space="preserve">O conceito de estrutura de oportunidade política designa as dimensões do ambiente institucional que incentivam ou desencorajam a ação coletiva. Tarrow (</w:t>
      </w:r>
      <w:r>
        <w:rPr>
          <w:rFonts w:ascii="Times New Roman" w:cs="Times New Roman" w:eastAsia="Times New Roman" w:hAnsi="Times New Roman"/>
          <w:i/>
          <w:iCs/>
          <w:sz w:val="24"/>
          <w:szCs w:val="24"/>
        </w:rPr>
        <w:t xml:space="preserve">Power in Movement</w:t>
      </w:r>
      <w:r>
        <w:rPr>
          <w:rFonts w:ascii="Times New Roman" w:cs="Times New Roman" w:eastAsia="Times New Roman" w:hAnsi="Times New Roman"/>
          <w:sz w:val="24"/>
          <w:szCs w:val="24"/>
        </w:rPr>
        <w:t xml:space="preserve">) sintetiza quatro dimensões recorrentes: a abertura ou fechamento do sistema político institucionalizado; a estabilidade ou instabilidade dos alinhamentos entre elites; a presença ou ausência de aliados influentes; e a propensão do Estado à repressão ou à facilitação. A hipótese subjacente é que a probabilidade de mobilização aumenta quando o sistema se abre, quando as elites se dividem, quando surgem aliados e quando o custo esperado da repressão diminui.</w:t>
      </w:r>
    </w:p>
    <w:p>
      <w:pPr>
        <w:spacing w:after="120" w:line="360"/>
        <w:ind w:firstLine="709"/>
        <w:jc w:val="both"/>
      </w:pPr>
      <w:r>
        <w:rPr>
          <w:rFonts w:ascii="Times New Roman" w:cs="Times New Roman" w:eastAsia="Times New Roman" w:hAnsi="Times New Roman"/>
          <w:sz w:val="24"/>
          <w:szCs w:val="24"/>
        </w:rPr>
        <w:t xml:space="preserve">Aplicada ao Brasil, a abordagem revela desde logo sua força e seu limite. Sua força está em explicar por que certos episódios convergem para desfechos institucionais robustos — o impeachment de Collor em 1992, o de Dilma em 2015-2016 — enquanto outros, de mobilização igualmente intensa, dissipam-se sem tradução institucional. Seu limite está em tratar a repressão e a divisão de elites como variáveis de sinal unívoco, quando o caso brasileiro sugere efeitos contingentes: em Junho de 2013, a repressão policial da primeira semana funcionou como catalisador da expansão, e não como inibidor, invertendo a expectativa clássica.</w:t>
      </w:r>
    </w:p>
    <w:p>
      <w:pPr>
        <w:pStyle w:val="Heading2"/>
        <w:keepNext/>
        <w:spacing w:after="160" w:before="280" w:line="360"/>
      </w:pPr>
      <w:r>
        <w:rPr>
          <w:rFonts w:ascii="Times New Roman" w:cs="Times New Roman" w:eastAsia="Times New Roman" w:hAnsi="Times New Roman"/>
          <w:b/>
          <w:bCs/>
          <w:sz w:val="24"/>
          <w:szCs w:val="24"/>
        </w:rPr>
        <w:t xml:space="preserve">2.2 Estruturas de oportunidade discursiva</w:t>
      </w:r>
    </w:p>
    <w:p>
      <w:pPr>
        <w:spacing w:after="120" w:line="360"/>
        <w:ind w:firstLine="709"/>
        <w:jc w:val="both"/>
      </w:pPr>
      <w:r>
        <w:rPr>
          <w:rFonts w:ascii="Times New Roman" w:cs="Times New Roman" w:eastAsia="Times New Roman" w:hAnsi="Times New Roman"/>
          <w:sz w:val="24"/>
          <w:szCs w:val="24"/>
        </w:rPr>
        <w:t xml:space="preserve">A noção de estrutura de oportunidade discursiva foi introduzida por Koopmans e Statham (1999) para designar o conjunto de ideias presentes na cultura política mais ampla que são percebidas como sensatas, realistas e legítimas, e cuja presença facilita a recepção de determinados enquadramentos de ação coletiva (McCammon, 2013). Enquanto a EOP responde pela pergunta </w:t>
      </w:r>
      <w:r>
        <w:rPr>
          <w:rFonts w:ascii="Times New Roman" w:cs="Times New Roman" w:eastAsia="Times New Roman" w:hAnsi="Times New Roman"/>
          <w:i/>
          <w:iCs/>
          <w:sz w:val="24"/>
          <w:szCs w:val="24"/>
        </w:rPr>
        <w:t xml:space="preserve">quando</w:t>
      </w:r>
      <w:r>
        <w:rPr>
          <w:rFonts w:ascii="Times New Roman" w:cs="Times New Roman" w:eastAsia="Times New Roman" w:hAnsi="Times New Roman"/>
          <w:sz w:val="24"/>
          <w:szCs w:val="24"/>
        </w:rPr>
        <w:t xml:space="preserve"> a mobilização se torna possível, a EOD responde por </w:t>
      </w:r>
      <w:r>
        <w:rPr>
          <w:rFonts w:ascii="Times New Roman" w:cs="Times New Roman" w:eastAsia="Times New Roman" w:hAnsi="Times New Roman"/>
          <w:i/>
          <w:iCs/>
          <w:sz w:val="24"/>
          <w:szCs w:val="24"/>
        </w:rPr>
        <w:t xml:space="preserve">quais enquadramentos</w:t>
      </w:r>
      <w:r>
        <w:rPr>
          <w:rFonts w:ascii="Times New Roman" w:cs="Times New Roman" w:eastAsia="Times New Roman" w:hAnsi="Times New Roman"/>
          <w:sz w:val="24"/>
          <w:szCs w:val="24"/>
        </w:rPr>
        <w:t xml:space="preserve"> alcançam ressonância pública num dado momento. Koopmans e Olzak (2004) desenvolvem o argumento ao mostrar que a visibilidade, a ressonância e a legitimidade de um enquadramento no espaço público condicionam sua capacidade de mobilizar.</w:t>
      </w:r>
    </w:p>
    <w:p>
      <w:pPr>
        <w:spacing w:after="120" w:line="360"/>
        <w:ind w:firstLine="709"/>
        <w:jc w:val="both"/>
      </w:pPr>
      <w:r>
        <w:rPr>
          <w:rFonts w:ascii="Times New Roman" w:cs="Times New Roman" w:eastAsia="Times New Roman" w:hAnsi="Times New Roman"/>
          <w:sz w:val="24"/>
          <w:szCs w:val="24"/>
        </w:rPr>
        <w:t xml:space="preserve">O interesse dessa vertente para o caso brasileiro é considerável. A trajetória divergente da legitimidade narrativa nos desfechos dos ciclos — a consolidação estável da memória das Diretas Já e do Fora Collor, de um lado, e a legitimidade contestada de Junho de 2013 e do impeachment de Dilma, de outro — não se explica apenas por variáveis institucionais. Ela remete à disputa sobre </w:t>
      </w:r>
      <w:r>
        <w:rPr>
          <w:rFonts w:ascii="Times New Roman" w:cs="Times New Roman" w:eastAsia="Times New Roman" w:hAnsi="Times New Roman"/>
          <w:i/>
          <w:iCs/>
          <w:sz w:val="24"/>
          <w:szCs w:val="24"/>
        </w:rPr>
        <w:t xml:space="preserve">qual</w:t>
      </w:r>
      <w:r>
        <w:rPr>
          <w:rFonts w:ascii="Times New Roman" w:cs="Times New Roman" w:eastAsia="Times New Roman" w:hAnsi="Times New Roman"/>
          <w:sz w:val="24"/>
          <w:szCs w:val="24"/>
        </w:rPr>
        <w:t xml:space="preserve"> enquadramento se tornou hegemônico e </w:t>
      </w:r>
      <w:r>
        <w:rPr>
          <w:rFonts w:ascii="Times New Roman" w:cs="Times New Roman" w:eastAsia="Times New Roman" w:hAnsi="Times New Roman"/>
          <w:i/>
          <w:iCs/>
          <w:sz w:val="24"/>
          <w:szCs w:val="24"/>
        </w:rPr>
        <w:t xml:space="preserve">por quanto tempo</w:t>
      </w:r>
      <w:r>
        <w:rPr>
          <w:rFonts w:ascii="Times New Roman" w:cs="Times New Roman" w:eastAsia="Times New Roman" w:hAnsi="Times New Roman"/>
          <w:sz w:val="24"/>
          <w:szCs w:val="24"/>
        </w:rPr>
        <w:t xml:space="preserve"> reteve legitimidade. A abordagem dialoga com a tradição de análise de enquadramento de Snow e Benford e com o trabalho de Ferree e colaboradores sobre a estruturação discursiva de campos de disputa.</w:t>
      </w:r>
    </w:p>
    <w:p>
      <w:pPr>
        <w:pStyle w:val="Heading2"/>
        <w:keepNext/>
        <w:spacing w:after="160" w:before="280" w:line="360"/>
      </w:pPr>
      <w:r>
        <w:rPr>
          <w:rFonts w:ascii="Times New Roman" w:cs="Times New Roman" w:eastAsia="Times New Roman" w:hAnsi="Times New Roman"/>
          <w:b/>
          <w:bCs/>
          <w:sz w:val="24"/>
          <w:szCs w:val="24"/>
        </w:rPr>
        <w:t xml:space="preserve">2.3 A ponte com a análise de conjuntura</w:t>
      </w:r>
    </w:p>
    <w:p>
      <w:pPr>
        <w:spacing w:after="120" w:line="360"/>
        <w:ind w:firstLine="709"/>
        <w:jc w:val="both"/>
      </w:pPr>
      <w:r>
        <w:rPr>
          <w:rFonts w:ascii="Times New Roman" w:cs="Times New Roman" w:eastAsia="Times New Roman" w:hAnsi="Times New Roman"/>
          <w:sz w:val="24"/>
          <w:szCs w:val="24"/>
        </w:rPr>
        <w:t xml:space="preserve">A contribuição intelectual distintiva desta proposta reside em conectar a TPP à tradição brasileira e francesa de análise de conjuntura. Essa tradição oferece um vocabulário específico para pensar os momentos em que a rotina política se suspende e as regras do jogo se tornam temporariamente incertas. É nesse ponto que se articulam duas noções: a de conjunturas fluidas, de Dobry, que designa os períodos em que a multissetorialidade da crise dissolve as fronteiras entre arenas antes autônomas; e a de conjunturas críticas, elaborada na sociologia dos movimentos por della Porta, que marca os pontos de bifurcação em que trajetórias alternativas se abrem.</w:t>
      </w:r>
    </w:p>
    <w:p>
      <w:pPr>
        <w:spacing w:after="120" w:line="360"/>
        <w:ind w:firstLine="709"/>
        <w:jc w:val="both"/>
      </w:pPr>
      <w:r>
        <w:rPr>
          <w:rFonts w:ascii="Times New Roman" w:cs="Times New Roman" w:eastAsia="Times New Roman" w:hAnsi="Times New Roman"/>
          <w:sz w:val="24"/>
          <w:szCs w:val="24"/>
        </w:rPr>
        <w:t xml:space="preserve">A tese aqui defendida é que EOP e EOD não operam de modo estático, mas se reconfiguram justamente nesses intervalos de fluidez conjuntural. Uma oportunidade política não é um dado fixo do ambiente; ela se abre, se amplia ou se fecha ao ritmo da conjuntura. Do mesmo modo, um enquadramento pode passar de marginal a hegemônico no curso de poucas semanas, como ilustra a rápida transformação da pauta de Junho de 2013 — de reivindicação tarifária localizada a clamor difuso contra 'o sistema'. O triângulo EOP–EOD–conjuntura funciona, portanto, como a arquitetura conceitual do artigo, com o nó conjuntural ocupando a posição integradora entre as duas estruturas de oportunidade.</w:t>
      </w:r>
    </w:p>
    <w:p>
      <w:pPr>
        <w:pStyle w:val="Heading1"/>
        <w:keepNext/>
        <w:spacing w:after="160" w:before="280" w:line="360"/>
      </w:pPr>
      <w:r>
        <w:rPr>
          <w:rFonts w:ascii="Times New Roman" w:cs="Times New Roman" w:eastAsia="Times New Roman" w:hAnsi="Times New Roman"/>
          <w:b/>
          <w:bCs/>
          <w:sz w:val="24"/>
          <w:szCs w:val="24"/>
        </w:rPr>
        <w:t xml:space="preserve">3 O mapeamento dos ciclos: unidades e periodização</w:t>
      </w:r>
    </w:p>
    <w:p>
      <w:pPr>
        <w:spacing w:after="120" w:line="360"/>
        <w:ind w:firstLine="709"/>
        <w:jc w:val="both"/>
      </w:pPr>
      <w:r>
        <w:rPr>
          <w:rFonts w:ascii="Times New Roman" w:cs="Times New Roman" w:eastAsia="Times New Roman" w:hAnsi="Times New Roman"/>
          <w:sz w:val="24"/>
          <w:szCs w:val="24"/>
        </w:rPr>
        <w:t xml:space="preserve">O mapeamento adotado organiza o material contencioso em episódios, entendidos como sequências de ação coletiva delimitáveis no tempo e no espaço e articuladas por uma reivindicação comum. Cada episódio pode ser decomposto em cinco fases canônicas — emergência, expansão, pico, declínio e desfecho — que permitem comparar não apenas casos entre si, mas também trajetórias internas a cada caso. Essa dupla decomposição responde a uma exigência da própria TPP: oportunidades e enquadramentos variam ao longo da vida de um ciclo, de modo que codificá-los apenas no nível do evento perderia a dinâmica fásica.</w:t>
      </w:r>
    </w:p>
    <w:p>
      <w:pPr>
        <w:spacing w:after="120" w:line="360"/>
        <w:ind w:firstLine="709"/>
        <w:jc w:val="both"/>
      </w:pPr>
      <w:r>
        <w:rPr>
          <w:rFonts w:ascii="Times New Roman" w:cs="Times New Roman" w:eastAsia="Times New Roman" w:hAnsi="Times New Roman"/>
          <w:sz w:val="24"/>
          <w:szCs w:val="24"/>
        </w:rPr>
        <w:t xml:space="preserve">A escolha das unidades apoia-se em dois níveis articulados de dados. No nível do evento, o banco </w:t>
      </w:r>
      <w:r>
        <w:rPr>
          <w:rFonts w:ascii="Times New Roman" w:cs="Times New Roman" w:eastAsia="Times New Roman" w:hAnsi="Times New Roman"/>
          <w:i/>
          <w:iCs/>
          <w:sz w:val="24"/>
          <w:szCs w:val="24"/>
        </w:rPr>
        <w:t xml:space="preserve">protest_events</w:t>
      </w:r>
      <w:r>
        <w:rPr>
          <w:rFonts w:ascii="Times New Roman" w:cs="Times New Roman" w:eastAsia="Times New Roman" w:hAnsi="Times New Roman"/>
          <w:sz w:val="24"/>
          <w:szCs w:val="24"/>
        </w:rPr>
        <w:t xml:space="preserve"> registra quem, onde, quando, com que demandas, repertórios e respostas estatais — seguindo o protocolo de Análise de Eventos de Protesto descrito na seção 4. No nível do contexto, o banco </w:t>
      </w:r>
      <w:r>
        <w:rPr>
          <w:rFonts w:ascii="Times New Roman" w:cs="Times New Roman" w:eastAsia="Times New Roman" w:hAnsi="Times New Roman"/>
          <w:i/>
          <w:iCs/>
          <w:sz w:val="24"/>
          <w:szCs w:val="24"/>
        </w:rPr>
        <w:t xml:space="preserve">cycle_phases</w:t>
      </w:r>
      <w:r>
        <w:rPr>
          <w:rFonts w:ascii="Times New Roman" w:cs="Times New Roman" w:eastAsia="Times New Roman" w:hAnsi="Times New Roman"/>
          <w:sz w:val="24"/>
          <w:szCs w:val="24"/>
        </w:rPr>
        <w:t xml:space="preserve"> registra, por fase de cada ciclo, as configurações de oportunidade política e discursiva. Os eventos herdam escores contextuais por combinação de ciclo e fase, o que preserva a comparabilidade sem impor artificialmente ao evento individual variáveis que são, por natureza, de contexto.</w:t>
      </w:r>
    </w:p>
    <w:p>
      <w:pPr>
        <w:spacing w:after="120" w:line="360"/>
        <w:ind w:firstLine="709"/>
        <w:jc w:val="both"/>
      </w:pPr>
      <w:r>
        <w:rPr>
          <w:rFonts w:ascii="Times New Roman" w:cs="Times New Roman" w:eastAsia="Times New Roman" w:hAnsi="Times New Roman"/>
          <w:sz w:val="24"/>
          <w:szCs w:val="24"/>
        </w:rPr>
        <w:t xml:space="preserve">O Quadro 1 sintetiza o mapeamento descritivo dos dezoito episódios considerados, da fase final das Diretas Já ao 8 de Janeiro de 2023. Trata-se de uma seleção que privilegia episódios de alta visibilidade nacional e capacidade de alterar o contexto político; não esgota o universo da política de rua brasileira, nem pretende fazê-lo nesta etapa. A periodização proposta é igualmente provisória e deve ser refinada, sobretudo para os ciclos de 2013 e do impeachment, em que a fronteira entre expansão e pico é analiticamente sensível.</w:t>
      </w:r>
    </w:p>
    <w:p>
      <w:pPr>
        <w:spacing w:after="80" w:before="200" w:line="240"/>
      </w:pPr>
      <w:r>
        <w:rPr>
          <w:rFonts w:ascii="Times New Roman" w:cs="Times New Roman" w:eastAsia="Times New Roman" w:hAnsi="Times New Roman"/>
          <w:b/>
          <w:bCs/>
          <w:sz w:val="20"/>
          <w:szCs w:val="20"/>
        </w:rPr>
        <w:t xml:space="preserve">Quadro 1 — Mapeamento descritivo dos ciclos de protesto no Brasil (1985–2023)</w:t>
      </w:r>
    </w:p>
    <w:tbl>
      <w:tblPr>
        <w:tblW w:type="dxa" w:w="9200"/>
        <w:tblBorders>
          <w:top w:val="single" w:color="888888" w:sz="4"/>
          <w:left w:val="single" w:color="888888" w:sz="4"/>
          <w:bottom w:val="single" w:color="888888" w:sz="4"/>
          <w:right w:val="single" w:color="888888" w:sz="4"/>
          <w:insideH w:val="single" w:color="888888" w:sz="4"/>
          <w:insideV w:val="single" w:color="888888" w:sz="4"/>
        </w:tblBorders>
      </w:tblPr>
      <w:tblGrid>
        <w:gridCol w:w="1750"/>
        <w:gridCol w:w="750"/>
        <w:gridCol w:w="1300"/>
        <w:gridCol w:w="1900"/>
        <w:gridCol w:w="1700"/>
        <w:gridCol w:w="1800"/>
      </w:tblGrid>
      <w:tr>
        <w:trPr>
          <w:tblHeader/>
        </w:trPr>
        <w:tc>
          <w:tcPr>
            <w:tcW w:type="dxa" w:w="1750"/>
            <w:shd w:fill="D9E2F3"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6"/>
                <w:szCs w:val="16"/>
              </w:rPr>
              <w:t xml:space="preserve">Episódio</w:t>
            </w:r>
          </w:p>
        </w:tc>
        <w:tc>
          <w:tcPr>
            <w:tcW w:type="dxa" w:w="750"/>
            <w:shd w:fill="D9E2F3"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6"/>
                <w:szCs w:val="16"/>
              </w:rPr>
              <w:t xml:space="preserve">Período</w:t>
            </w:r>
          </w:p>
        </w:tc>
        <w:tc>
          <w:tcPr>
            <w:tcW w:type="dxa" w:w="1300"/>
            <w:shd w:fill="D9E2F3"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6"/>
                <w:szCs w:val="16"/>
              </w:rPr>
              <w:t xml:space="preserve">Ciclo</w:t>
            </w:r>
          </w:p>
        </w:tc>
        <w:tc>
          <w:tcPr>
            <w:tcW w:type="dxa" w:w="1900"/>
            <w:shd w:fill="D9E2F3"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6"/>
                <w:szCs w:val="16"/>
              </w:rPr>
              <w:t xml:space="preserve">Atores principais</w:t>
            </w:r>
          </w:p>
        </w:tc>
        <w:tc>
          <w:tcPr>
            <w:tcW w:type="dxa" w:w="1700"/>
            <w:shd w:fill="D9E2F3"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6"/>
                <w:szCs w:val="16"/>
              </w:rPr>
              <w:t xml:space="preserve">Repertório</w:t>
            </w:r>
          </w:p>
        </w:tc>
        <w:tc>
          <w:tcPr>
            <w:tcW w:type="dxa" w:w="1800"/>
            <w:shd w:fill="D9E2F3"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6"/>
                <w:szCs w:val="16"/>
              </w:rPr>
              <w:t xml:space="preserve">Resultado institucional</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Diretas Já (atos finais)</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1985</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Redemocratização</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PMDB; CUT; UNE; Igreja; artistas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comício de massa; marcha</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Parcial: eleição indireta de Tancredo (1985)</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Greve Geral CUT/CGT</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1989</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Redemocratização</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CUT; CGT; trabalhadores urbanos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greve geral; paralisação; piquete</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Negociações parciais; novo plano econômico</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Caras Pintadas / Fora Collor</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1992</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Redemocratização</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UNE; UBES; secundaristas; CNBB</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comício; ato simbólico</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Impeachment de Collor (set. 1992)</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dos Sem-Terra (MST)</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1997</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Governos FHC</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MST; Via Campesina; CUT</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acampamento; ocupação de terra</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Limitado: pressão simbólica; assentamentos pontuais</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Protestos anti-privatização / anti-ALCA</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1999–2002</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Governos FHC</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CUT; PT; MST; redes anti-ALCA</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ato público; plebiscito popular</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Vitória eleitoral do PT (2002); ALCA bloqueada</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contra o Racismo</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2005</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Governos Lula/Dilma</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MNU; CONEN; movimentos negros; ONGs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ato simbólico; ocupação de espaço</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Políticas de cotas (lei de 2012)</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Jornadas de Junho — fase MPL</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2013</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Ciclo 2013–2016</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MPL; estudantes; jovens urbanos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bloqueio de via; confronto</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Revogação do aumento em SP/RJ</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Jornadas de Junho — fase mosaico</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2013</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Ciclo 2013–2016</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Multidão difusa; espectro partidário amplo</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massiva; ato; vandalismo episódico</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Reversão da PEC 37; abertura à direita</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Protestos anti-Copa</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2014</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Ciclo 2013–2016</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MPL; MTST; movimentos urbanos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bloqueio; acampamento; black bloc</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Repressão intensa; debate internacional</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Ciclo pró-impeachment (Vem pra Rua/MBL)</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2015–2016</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Ciclo 2013–2016</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Vem pra Rua; MBL; classe média; setores empresariais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massiva; ato na Paulista; verde-amarelo</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Impeachment de Dilma (ago. 2016)</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Fora Temer / Diretas Já 2016</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2016</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Pós-impeachment</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CUT; MST; PT; estudantes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greve estudantil; ocupação de escola</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Limitado: Temer permaneceu</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Greve Geral anti-reforma trabalhista</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2017</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Pós-impeachment</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CUT; CTB; CSP-Conlutas; estudantes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greve geral; paralisação nacional; piquete</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Parcial: reforma aprovada; refluxo</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#EleNão</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2018</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Ascensão bolsonarista</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feministas; LGBTQIA+; movimentos negros; estudantes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ato; mobilização digital</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Bolsonaro eleito; maior mobilização feminista do país</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Protestos em defesa da educação</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2019</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Governo Bolsonaro</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UNE; UBES; ANDES; CNTE; docentes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greve docente; ocupação de reitoria</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Parcial: desbloqueio de verbas</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Manifestações anti-Bolsonaro (Covid)</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2020–2021</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Governo Bolsonaro</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PSOL; PT; PCdoB; movimentos; saúde</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panelaço; buzinaço; ato com distanciamento</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CPI da Covid; pressão por vacinas</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7 de Setembro pró-Bolsonaro</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2021</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Governo Bolsonaro</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bolsonaristas; reserva militar; caminhoneiros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marcha; concentração ante o STF; discurso</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Recuo presidencial; deriva autocrática latente</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Acampamentos golpistas pós-eleição</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2022</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Pós-2022</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bolsonaristas radicais; reserva; financiadores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acampamento; bloqueio de rodovia; petições</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Dissolução; investigações criminais</w:t>
            </w:r>
          </w:p>
        </w:tc>
      </w:tr>
      <w:tr>
        <w:tc>
          <w:tcPr>
            <w:tcW w:type="dxa" w:w="1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8 de Janeiro</w:t>
            </w:r>
          </w:p>
        </w:tc>
        <w:tc>
          <w:tcPr>
            <w:tcW w:type="dxa" w:w="7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2023</w:t>
            </w:r>
          </w:p>
        </w:tc>
        <w:tc>
          <w:tcPr>
            <w:tcW w:type="dxa" w:w="13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Pós-2022</w:t>
            </w:r>
          </w:p>
        </w:tc>
        <w:tc>
          <w:tcPr>
            <w:tcW w:type="dxa" w:w="1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bolsonaristas radicais; agitadores</w:t>
            </w:r>
          </w:p>
        </w:tc>
        <w:tc>
          <w:tcPr>
            <w:tcW w:type="dxa" w:w="1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invasão; vandalismo; depredação; confronto</w:t>
            </w:r>
          </w:p>
        </w:tc>
        <w:tc>
          <w:tcPr>
            <w:tcW w:type="dxa" w:w="18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5"/>
                <w:szCs w:val="15"/>
              </w:rPr>
              <w:t xml:space="preserve">1.400+ presos; investigações; responsabilização (2025)</w:t>
            </w:r>
          </w:p>
        </w:tc>
      </w:tr>
    </w:tbl>
    <w:p>
      <w:pPr>
        <w:spacing w:after="200" w:before="40" w:line="240"/>
      </w:pPr>
      <w:r>
        <w:rPr>
          <w:rFonts w:ascii="Times New Roman" w:cs="Times New Roman" w:eastAsia="Times New Roman" w:hAnsi="Times New Roman"/>
          <w:i/>
          <w:iCs/>
          <w:sz w:val="18"/>
          <w:szCs w:val="18"/>
        </w:rPr>
        <w:t xml:space="preserve">Fonte: elaboração própria a partir da literatura secundária (Alonso, 2023; Alonso et al., 2024; Tatagiba e Galvão) e do conhecimento histórico dos casos. Seleção de episódios de alta visibilidade nacional; não exaustiva.</w:t>
      </w:r>
    </w:p>
    <w:p>
      <w:pPr>
        <w:pStyle w:val="Heading1"/>
        <w:keepNext/>
        <w:spacing w:after="160" w:before="280" w:line="360"/>
      </w:pPr>
      <w:r>
        <w:rPr>
          <w:rFonts w:ascii="Times New Roman" w:cs="Times New Roman" w:eastAsia="Times New Roman" w:hAnsi="Times New Roman"/>
          <w:b/>
          <w:bCs/>
          <w:sz w:val="24"/>
          <w:szCs w:val="24"/>
        </w:rPr>
        <w:t xml:space="preserve">4 Procedimentos metodológicos</w:t>
      </w:r>
    </w:p>
    <w:p>
      <w:pPr>
        <w:spacing w:after="120" w:line="360"/>
        <w:ind w:firstLine="709"/>
        <w:jc w:val="both"/>
      </w:pPr>
      <w:r>
        <w:rPr>
          <w:rFonts w:ascii="Times New Roman" w:cs="Times New Roman" w:eastAsia="Times New Roman" w:hAnsi="Times New Roman"/>
          <w:sz w:val="24"/>
          <w:szCs w:val="24"/>
        </w:rPr>
        <w:t xml:space="preserve">O desenho de pesquisa combina três procedimentos, selecionados segundo o princípio de que a questão de pesquisa — e não a preferência técnica — deve governar a escolha do método. Como a questão central é simultaneamente comparativa (o que distingue os casos) e processual (por que cada trajetória se desenrola como se desenrola), nenhum procedimento isolado a responde. A estratégia é, portanto, deliberadamente mista: à Análise de Eventos de Protesto cabe produzir os dados; à Análise Comparativa Qualitativa e aos métodos de Mill cabe estabelecer padrões entre casos; ao process tracing cabe reconstruir os mecanismos dentro de cada caso.</w:t>
      </w:r>
    </w:p>
    <w:p>
      <w:pPr>
        <w:pStyle w:val="Heading2"/>
        <w:keepNext/>
        <w:spacing w:after="160" w:before="280" w:line="360"/>
      </w:pPr>
      <w:r>
        <w:rPr>
          <w:rFonts w:ascii="Times New Roman" w:cs="Times New Roman" w:eastAsia="Times New Roman" w:hAnsi="Times New Roman"/>
          <w:b/>
          <w:bCs/>
          <w:sz w:val="24"/>
          <w:szCs w:val="24"/>
        </w:rPr>
        <w:t xml:space="preserve">4.1 Análise de Eventos de Protesto como estratégia de coleta</w:t>
      </w:r>
    </w:p>
    <w:p>
      <w:pPr>
        <w:spacing w:after="120" w:line="360"/>
        <w:ind w:firstLine="709"/>
        <w:jc w:val="both"/>
      </w:pPr>
      <w:r>
        <w:rPr>
          <w:rFonts w:ascii="Times New Roman" w:cs="Times New Roman" w:eastAsia="Times New Roman" w:hAnsi="Times New Roman"/>
          <w:sz w:val="24"/>
          <w:szCs w:val="24"/>
        </w:rPr>
        <w:t xml:space="preserve">A Análise de Eventos de Protesto (AEP) é uma modalidade de análise de conteúdo quantitativa aplicada à cobertura jornalística da ação coletiva. Seu procedimento segue as etapas consagradas da análise de conteúdo: definição da unidade de análise (o evento de protesto), delimitação da população e do quadro amostral, construção de um livro de códigos com categorias exaustivas e mutuamente excludentes, treinamento de codificadores, aferição de confiabilidade intercodificadores antes da codificação plena, codificação sistemática e análise.</w:t>
      </w:r>
    </w:p>
    <w:p>
      <w:pPr>
        <w:spacing w:after="120" w:line="360"/>
        <w:ind w:firstLine="709"/>
        <w:jc w:val="both"/>
      </w:pPr>
      <w:r>
        <w:rPr>
          <w:rFonts w:ascii="Times New Roman" w:cs="Times New Roman" w:eastAsia="Times New Roman" w:hAnsi="Times New Roman"/>
          <w:sz w:val="24"/>
          <w:szCs w:val="24"/>
        </w:rPr>
        <w:t xml:space="preserve">A fonte primária é o Acervo Folha de S.Paulo, coerente com a prática consolidada da pesquisa brasileira sobre protestos — o Banco de Eventos de Protesto do Cebrap (Alonso </w:t>
      </w:r>
      <w:r>
        <w:rPr>
          <w:rFonts w:ascii="Times New Roman" w:cs="Times New Roman" w:eastAsia="Times New Roman" w:hAnsi="Times New Roman"/>
          <w:i/>
          <w:iCs/>
          <w:sz w:val="24"/>
          <w:szCs w:val="24"/>
        </w:rPr>
        <w:t xml:space="preserve">et al.</w:t>
      </w:r>
      <w:r>
        <w:rPr>
          <w:rFonts w:ascii="Times New Roman" w:cs="Times New Roman" w:eastAsia="Times New Roman" w:hAnsi="Times New Roman"/>
          <w:sz w:val="24"/>
          <w:szCs w:val="24"/>
        </w:rPr>
        <w:t xml:space="preserve">, 2024) e o banco do NEPAC/Unicamp (Tatagiba e Galvão) adotam a mesma fonte. O livro de códigos organiza as demandas segundo uma taxonomia de quatro dígitos inspirada no projeto </w:t>
      </w:r>
      <w:r>
        <w:rPr>
          <w:rFonts w:ascii="Times New Roman" w:cs="Times New Roman" w:eastAsia="Times New Roman" w:hAnsi="Times New Roman"/>
          <w:i/>
          <w:iCs/>
          <w:sz w:val="24"/>
          <w:szCs w:val="24"/>
        </w:rPr>
        <w:t xml:space="preserve">Dynamics of Collective Action</w:t>
      </w:r>
      <w:r>
        <w:rPr>
          <w:rFonts w:ascii="Times New Roman" w:cs="Times New Roman" w:eastAsia="Times New Roman" w:hAnsi="Times New Roman"/>
          <w:sz w:val="24"/>
          <w:szCs w:val="24"/>
        </w:rPr>
        <w:t xml:space="preserve">, com nove domínios temáticos e uma taxonomia de repertórios derivada de Tilly (2008). Cada demanda recebe um qualificador de valência. A confiabilidade da codificação é aferida por estatísticas que descontam a concordância ao acaso.</w:t>
      </w:r>
    </w:p>
    <w:p>
      <w:pPr>
        <w:spacing w:after="60" w:before="120" w:line="240"/>
      </w:pPr>
      <w:r>
        <w:rPr>
          <w:rFonts w:ascii="Times New Roman" w:cs="Times New Roman" w:eastAsia="Times New Roman" w:hAnsi="Times New Roman"/>
          <w:b/>
          <w:bCs/>
          <w:sz w:val="20"/>
          <w:szCs w:val="20"/>
        </w:rPr>
        <w:t xml:space="preserve">Quadro 2 — Métricas de confiabilidade intercodificadores adotadas</w:t>
      </w:r>
    </w:p>
    <w:tbl>
      <w:tblPr>
        <w:tblW w:type="dxa" w:w="9200"/>
        <w:tblBorders>
          <w:top w:val="single" w:color="888888" w:sz="4"/>
          <w:left w:val="single" w:color="888888" w:sz="4"/>
          <w:bottom w:val="single" w:color="888888" w:sz="4"/>
          <w:right w:val="single" w:color="888888" w:sz="4"/>
          <w:insideH w:val="single" w:color="888888" w:sz="4"/>
          <w:insideV w:val="single" w:color="888888" w:sz="4"/>
        </w:tblBorders>
      </w:tblPr>
      <w:tblGrid>
        <w:gridCol w:w="2600"/>
        <w:gridCol w:w="4200"/>
        <w:gridCol w:w="2400"/>
      </w:tblGrid>
      <w:tr>
        <w:trPr>
          <w:tblHeader/>
        </w:trPr>
        <w:tc>
          <w:tcPr>
            <w:tcW w:type="dxa" w:w="2600"/>
            <w:shd w:fill="D9E2F3" w:val="clear"/>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bCs/>
                <w:sz w:val="18"/>
                <w:szCs w:val="18"/>
              </w:rPr>
              <w:t xml:space="preserve">Métrica</w:t>
            </w:r>
          </w:p>
        </w:tc>
        <w:tc>
          <w:tcPr>
            <w:tcW w:type="dxa" w:w="4200"/>
            <w:shd w:fill="D9E2F3" w:val="clear"/>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bCs/>
                <w:sz w:val="18"/>
                <w:szCs w:val="18"/>
              </w:rPr>
              <w:t xml:space="preserve">Aplicação</w:t>
            </w:r>
          </w:p>
        </w:tc>
        <w:tc>
          <w:tcPr>
            <w:tcW w:type="dxa" w:w="2400"/>
            <w:shd w:fill="D9E2F3"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8"/>
                <w:szCs w:val="18"/>
              </w:rPr>
              <w:t xml:space="preserve">Limiar aceitável</w:t>
            </w:r>
          </w:p>
        </w:tc>
      </w:tr>
      <w:tr>
        <w:trPr>
          <w:tblHeader w:val="false"/>
        </w:trPr>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val="false"/>
                <w:bCs w:val="false"/>
                <w:sz w:val="18"/>
                <w:szCs w:val="18"/>
              </w:rPr>
              <w:t xml:space="preserve">Percentual de concordância</w:t>
            </w:r>
          </w:p>
        </w:tc>
        <w:tc>
          <w:tcPr>
            <w:tcW w:type="dxa" w:w="42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val="false"/>
                <w:bCs w:val="false"/>
                <w:sz w:val="18"/>
                <w:szCs w:val="18"/>
              </w:rPr>
              <w:t xml:space="preserve">Nunca isoladamente (não desconta o acaso)</w:t>
            </w:r>
          </w:p>
        </w:tc>
        <w:tc>
          <w:tcPr>
            <w:tcW w:type="dxa" w:w="240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val="false"/>
                <w:bCs w:val="false"/>
                <w:sz w:val="18"/>
                <w:szCs w:val="18"/>
              </w:rPr>
              <w:t xml:space="preserve">—</w:t>
            </w:r>
          </w:p>
        </w:tc>
      </w:tr>
      <w:tr>
        <w:trPr>
          <w:tblHeader w:val="false"/>
        </w:trPr>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val="false"/>
                <w:bCs w:val="false"/>
                <w:sz w:val="18"/>
                <w:szCs w:val="18"/>
              </w:rPr>
              <w:t xml:space="preserve">Kappa de Cohen</w:t>
            </w:r>
          </w:p>
        </w:tc>
        <w:tc>
          <w:tcPr>
            <w:tcW w:type="dxa" w:w="42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val="false"/>
                <w:bCs w:val="false"/>
                <w:sz w:val="18"/>
                <w:szCs w:val="18"/>
              </w:rPr>
              <w:t xml:space="preserve">Dois codificadores; categorias nominais</w:t>
            </w:r>
          </w:p>
        </w:tc>
        <w:tc>
          <w:tcPr>
            <w:tcW w:type="dxa" w:w="240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val="false"/>
                <w:bCs w:val="false"/>
                <w:sz w:val="18"/>
                <w:szCs w:val="18"/>
              </w:rPr>
              <w:t xml:space="preserve">&gt; 0,80 bom; &gt; 0,67 aceitável</w:t>
            </w:r>
          </w:p>
        </w:tc>
      </w:tr>
      <w:tr>
        <w:trPr>
          <w:tblHeader w:val="false"/>
        </w:trPr>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val="false"/>
                <w:bCs w:val="false"/>
                <w:sz w:val="18"/>
                <w:szCs w:val="18"/>
              </w:rPr>
              <w:t xml:space="preserve">Alfa de Krippendorff</w:t>
            </w:r>
          </w:p>
        </w:tc>
        <w:tc>
          <w:tcPr>
            <w:tcW w:type="dxa" w:w="42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val="false"/>
                <w:bCs w:val="false"/>
                <w:sz w:val="18"/>
                <w:szCs w:val="18"/>
              </w:rPr>
              <w:t xml:space="preserve">Qualquer nº de codificadores e nível de medida</w:t>
            </w:r>
          </w:p>
        </w:tc>
        <w:tc>
          <w:tcPr>
            <w:tcW w:type="dxa" w:w="240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val="false"/>
                <w:bCs w:val="false"/>
                <w:sz w:val="18"/>
                <w:szCs w:val="18"/>
              </w:rPr>
              <w:t xml:space="preserve">&gt; 0,80 bom; &gt; 0,667 aceitável</w:t>
            </w:r>
          </w:p>
        </w:tc>
      </w:tr>
      <w:tr>
        <w:trPr>
          <w:tblHeader w:val="false"/>
        </w:trPr>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val="false"/>
                <w:bCs w:val="false"/>
                <w:sz w:val="18"/>
                <w:szCs w:val="18"/>
              </w:rPr>
              <w:t xml:space="preserve">ICC (correlação intraclasse)</w:t>
            </w:r>
          </w:p>
        </w:tc>
        <w:tc>
          <w:tcPr>
            <w:tcW w:type="dxa" w:w="42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b w:val="false"/>
                <w:bCs w:val="false"/>
                <w:sz w:val="18"/>
                <w:szCs w:val="18"/>
              </w:rPr>
              <w:t xml:space="preserve">Escalas contínuas ou ordinais</w:t>
            </w:r>
          </w:p>
        </w:tc>
        <w:tc>
          <w:tcPr>
            <w:tcW w:type="dxa" w:w="240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val="false"/>
                <w:bCs w:val="false"/>
                <w:sz w:val="18"/>
                <w:szCs w:val="18"/>
              </w:rPr>
              <w:t xml:space="preserve">&gt; 0,75 bom</w:t>
            </w:r>
          </w:p>
        </w:tc>
      </w:tr>
    </w:tbl>
    <w:p>
      <w:pPr>
        <w:spacing w:after="160" w:before="40" w:line="240"/>
      </w:pPr>
      <w:r>
        <w:rPr>
          <w:rFonts w:ascii="Times New Roman" w:cs="Times New Roman" w:eastAsia="Times New Roman" w:hAnsi="Times New Roman"/>
          <w:i/>
          <w:iCs/>
          <w:sz w:val="18"/>
          <w:szCs w:val="18"/>
        </w:rPr>
        <w:t xml:space="preserve">Fonte: elaboração própria a partir de Krippendorff (2004) e da literatura de análise de conteúdo.</w:t>
      </w:r>
    </w:p>
    <w:p>
      <w:pPr>
        <w:pStyle w:val="Heading2"/>
        <w:keepNext/>
        <w:spacing w:after="160" w:before="280" w:line="360"/>
      </w:pPr>
      <w:r>
        <w:rPr>
          <w:rFonts w:ascii="Times New Roman" w:cs="Times New Roman" w:eastAsia="Times New Roman" w:hAnsi="Times New Roman"/>
          <w:b/>
          <w:bCs/>
          <w:sz w:val="24"/>
          <w:szCs w:val="24"/>
        </w:rPr>
        <w:t xml:space="preserve">4.2 Comparação entre casos: QCA e métodos de Mill</w:t>
      </w:r>
    </w:p>
    <w:p>
      <w:pPr>
        <w:spacing w:after="120" w:line="360"/>
        <w:ind w:firstLine="709"/>
        <w:jc w:val="both"/>
      </w:pPr>
      <w:r>
        <w:rPr>
          <w:rFonts w:ascii="Times New Roman" w:cs="Times New Roman" w:eastAsia="Times New Roman" w:hAnsi="Times New Roman"/>
          <w:sz w:val="24"/>
          <w:szCs w:val="24"/>
        </w:rPr>
        <w:t xml:space="preserve">Para estabelecer padrões de covariação entre configurações de oportunidade e desfechos, adota-se a Análise Comparativa Qualitativa (QCA), formulada por Ragin (2008). A QCA emprega álgebra booleana e teoria dos conjuntos para analisar a complexidade causal em desenhos de N intermediário — a faixa em que os métodos estatísticos carecem de potência e os estudos de caso isolados não estabelecem generalidade. Sua premissa distintiva é a </w:t>
      </w:r>
      <w:r>
        <w:rPr>
          <w:rFonts w:ascii="Times New Roman" w:cs="Times New Roman" w:eastAsia="Times New Roman" w:hAnsi="Times New Roman"/>
          <w:i/>
          <w:iCs/>
          <w:sz w:val="24"/>
          <w:szCs w:val="24"/>
        </w:rPr>
        <w:t xml:space="preserve">causação conjuntural múltipla</w:t>
      </w:r>
      <w:r>
        <w:rPr>
          <w:rFonts w:ascii="Times New Roman" w:cs="Times New Roman" w:eastAsia="Times New Roman" w:hAnsi="Times New Roman"/>
          <w:sz w:val="24"/>
          <w:szCs w:val="24"/>
        </w:rPr>
        <w:t xml:space="preserve">: um mesmo desfecho pode resultar de combinações distintas de condições (equifinalidade), e uma condição pode ter efeitos opostos conforme o contexto em que se insere.</w:t>
      </w:r>
    </w:p>
    <w:p>
      <w:pPr>
        <w:spacing w:after="120" w:line="360"/>
        <w:ind w:firstLine="709"/>
        <w:jc w:val="both"/>
      </w:pPr>
      <w:r>
        <w:rPr>
          <w:rFonts w:ascii="Times New Roman" w:cs="Times New Roman" w:eastAsia="Times New Roman" w:hAnsi="Times New Roman"/>
          <w:sz w:val="24"/>
          <w:szCs w:val="24"/>
        </w:rPr>
        <w:t xml:space="preserve">O procedimento envolve calibrar cada condição em escores de pertinência a conjuntos, construir a tabela-verdade com as combinações logicamente possíveis, testar condições necessárias e suficientes e, por minimização booleana, identificar as configurações associadas ao desfecho, retornando sempre ao conhecimento de caso para validar as soluções. As condições candidatas derivam diretamente das dimensões da matriz: abertura institucional, divisão de elites, presença de aliados, propensão repressiva e ressonância discursiva. O desfecho a explicar é a tradução institucional do ciclo — sua capacidade de produzir efeito sistêmico duradouro.</w:t>
      </w:r>
    </w:p>
    <w:p>
      <w:pPr>
        <w:spacing w:after="120" w:line="360"/>
        <w:ind w:firstLine="709"/>
        <w:jc w:val="both"/>
      </w:pPr>
      <w:r>
        <w:rPr>
          <w:rFonts w:ascii="Times New Roman" w:cs="Times New Roman" w:eastAsia="Times New Roman" w:hAnsi="Times New Roman"/>
          <w:sz w:val="24"/>
          <w:szCs w:val="24"/>
        </w:rPr>
        <w:t xml:space="preserve">Uma advertência de proporção impõe-se. A QCA torna-se instável quando a razão entre condições e casos é alta; recomenda-se pelo menos três casos por condição. Com um número limitado de ciclos maiores, isso obriga ou a reduzir o conjunto de condições a um núcleo teoricamente justificado, ou a explorar a variação fásica intracaso como fonte adicional de casos. Complementarmente, os métodos de Mill — concordância, diferença e variação concomitante — orientam a seleção de pares de casos: contrastar Diretas Já e Fora Collor (mesmo desfecho de legitimação estável, condições institucionais distintas) mobiliza o método da concordância; contrastar Junho de 2013 e o impeachment (legitimidade contestada em ambos, coalizões mobilizadoras opostas) mobiliza o método da diferença.</w:t>
      </w:r>
    </w:p>
    <w:p>
      <w:pPr>
        <w:pStyle w:val="Heading2"/>
        <w:keepNext/>
        <w:spacing w:after="160" w:before="280" w:line="360"/>
      </w:pPr>
      <w:r>
        <w:rPr>
          <w:rFonts w:ascii="Times New Roman" w:cs="Times New Roman" w:eastAsia="Times New Roman" w:hAnsi="Times New Roman"/>
          <w:b/>
          <w:bCs/>
          <w:sz w:val="24"/>
          <w:szCs w:val="24"/>
        </w:rPr>
        <w:t xml:space="preserve">4.3 Reconstrução de mecanismos: process tracing</w:t>
      </w:r>
    </w:p>
    <w:p>
      <w:pPr>
        <w:spacing w:after="120" w:line="360"/>
        <w:ind w:firstLine="709"/>
        <w:jc w:val="both"/>
      </w:pPr>
      <w:r>
        <w:rPr>
          <w:rFonts w:ascii="Times New Roman" w:cs="Times New Roman" w:eastAsia="Times New Roman" w:hAnsi="Times New Roman"/>
          <w:sz w:val="24"/>
          <w:szCs w:val="24"/>
        </w:rPr>
        <w:t xml:space="preserve">A QCA estabelece </w:t>
      </w:r>
      <w:r>
        <w:rPr>
          <w:rFonts w:ascii="Times New Roman" w:cs="Times New Roman" w:eastAsia="Times New Roman" w:hAnsi="Times New Roman"/>
          <w:i/>
          <w:iCs/>
          <w:sz w:val="24"/>
          <w:szCs w:val="24"/>
        </w:rPr>
        <w:t xml:space="preserve">que</w:t>
      </w:r>
      <w:r>
        <w:rPr>
          <w:rFonts w:ascii="Times New Roman" w:cs="Times New Roman" w:eastAsia="Times New Roman" w:hAnsi="Times New Roman"/>
          <w:sz w:val="24"/>
          <w:szCs w:val="24"/>
        </w:rPr>
        <w:t xml:space="preserve"> configurações se associam a quais desfechos, mas não reconstrói </w:t>
      </w:r>
      <w:r>
        <w:rPr>
          <w:rFonts w:ascii="Times New Roman" w:cs="Times New Roman" w:eastAsia="Times New Roman" w:hAnsi="Times New Roman"/>
          <w:i/>
          <w:iCs/>
          <w:sz w:val="24"/>
          <w:szCs w:val="24"/>
        </w:rPr>
        <w:t xml:space="preserve">como</w:t>
      </w:r>
      <w:r>
        <w:rPr>
          <w:rFonts w:ascii="Times New Roman" w:cs="Times New Roman" w:eastAsia="Times New Roman" w:hAnsi="Times New Roman"/>
          <w:sz w:val="24"/>
          <w:szCs w:val="24"/>
        </w:rPr>
        <w:t xml:space="preserve"> uma configuração produz um desfecho. Essa reconstrução é tarefa do process tracing, método intracaso de identificação de mecanismos causais (George e Bennett, 2005; Beach e Pedersen, 2019). O procedimento examina a cadeia causal entre uma condição e um resultado buscando evidências observáveis dos mecanismos teorizados, e ancora a inferência num raciocínio de tipo bayesiano: para cada evidência, avalia-se a probabilidade de encontrá-la caso a hipótese seja verdadeira e caso seja falsa.</w:t>
      </w:r>
    </w:p>
    <w:p>
      <w:pPr>
        <w:spacing w:after="120" w:line="360"/>
        <w:ind w:firstLine="709"/>
        <w:jc w:val="both"/>
      </w:pPr>
      <w:r>
        <w:rPr>
          <w:rFonts w:ascii="Times New Roman" w:cs="Times New Roman" w:eastAsia="Times New Roman" w:hAnsi="Times New Roman"/>
          <w:sz w:val="24"/>
          <w:szCs w:val="24"/>
        </w:rPr>
        <w:t xml:space="preserve">Beach e Pedersen distinguem quatro tipos de teste, organizados pela combinação entre certeza e unicidade da evidência. O teste de argola (hoop test) fornece evidência necessária, mas não suficiente: sua ausência elimina a hipótese, sua presença não a confirma. O teste de arma fumegante (smoking gun) fornece evidência suficiente, mas não necessária: sua presença confirma fortemente, sua ausência não elimina. O teste duplamente decisivo, raro, é ao mesmo tempo necessário e suficiente. E o teste de palha ao vento (straw-in-the-wind) apenas desloca marginalmente a plausibilidade. A força da inferência não vem de uma evidência isolada, mas do acúmulo de evidências de tipos distintos ao longo da cadeia.</w:t>
      </w:r>
    </w:p>
    <w:p>
      <w:pPr>
        <w:spacing w:after="120" w:line="360"/>
        <w:ind w:firstLine="709"/>
        <w:jc w:val="both"/>
      </w:pPr>
      <w:r>
        <w:rPr>
          <w:rFonts w:ascii="Times New Roman" w:cs="Times New Roman" w:eastAsia="Times New Roman" w:hAnsi="Times New Roman"/>
          <w:sz w:val="24"/>
          <w:szCs w:val="24"/>
        </w:rPr>
        <w:t xml:space="preserve">No desenho proposto, o process tracing incide sobre os mecanismos que ligam a configuração de oportunidade ao desfecho institucional em cada ciclo. Um exemplo: a hipótese de que a vulnerabilidade das elites (divisão intraelite mais deserção de aliados) é condição da tradução institucional do ciclo pode ser submetida a um teste de argola — se, no caso do impeachment de Dilma, não se observasse a deserção do PMDB e dos partidos de sustentação, a hipótese não sobreviveria. A observação documentada dessa deserção mantém a hipótese viável, sem ainda a confirmar, o que exige evidências adicionais de tipo arma fumegante.</w:t>
      </w:r>
    </w:p>
    <w:p>
      <w:pPr>
        <w:pStyle w:val="Heading1"/>
        <w:keepNext/>
        <w:spacing w:after="160" w:before="280" w:line="360"/>
      </w:pPr>
      <w:r>
        <w:rPr>
          <w:rFonts w:ascii="Times New Roman" w:cs="Times New Roman" w:eastAsia="Times New Roman" w:hAnsi="Times New Roman"/>
          <w:b/>
          <w:bCs/>
          <w:sz w:val="24"/>
          <w:szCs w:val="24"/>
        </w:rPr>
        <w:t xml:space="preserve">5 A matriz analítica das dimensões da TPP</w:t>
      </w:r>
    </w:p>
    <w:p>
      <w:pPr>
        <w:spacing w:after="120" w:line="360"/>
        <w:ind w:firstLine="709"/>
        <w:jc w:val="both"/>
      </w:pPr>
      <w:r>
        <w:rPr>
          <w:rFonts w:ascii="Times New Roman" w:cs="Times New Roman" w:eastAsia="Times New Roman" w:hAnsi="Times New Roman"/>
          <w:sz w:val="24"/>
          <w:szCs w:val="24"/>
        </w:rPr>
        <w:t xml:space="preserve">O Quadro 3 apresenta a matriz analítica que traduz cada episódio nas dimensões centrais da Teoria do Processo Político. Para cada ciclo, registram-se: o bloco de oportunidade política, sintetizado em quatro subdimensões (abertura institucional, aliados influentes, instabilidade de elites e propensão repressiva); a estrutura de mobilização predominante; e os três componentes do enquadramento — diagnóstico (definição do problema), prognóstico (solução proposta) e motivacional (apelo à ação), na formulação de Snow e Benford.</w:t>
      </w:r>
    </w:p>
    <w:p>
      <w:pPr>
        <w:spacing w:after="120" w:line="360"/>
        <w:ind w:firstLine="709"/>
        <w:jc w:val="both"/>
      </w:pPr>
      <w:r>
        <w:rPr>
          <w:rFonts w:ascii="Times New Roman" w:cs="Times New Roman" w:eastAsia="Times New Roman" w:hAnsi="Times New Roman"/>
          <w:b/>
          <w:bCs/>
          <w:sz w:val="24"/>
          <w:szCs w:val="24"/>
        </w:rPr>
        <w:t xml:space="preserve">Advertência sobre o estatuto dos escores. </w:t>
      </w:r>
      <w:r>
        <w:rPr>
          <w:rFonts w:ascii="Times New Roman" w:cs="Times New Roman" w:eastAsia="Times New Roman" w:hAnsi="Times New Roman"/>
          <w:sz w:val="24"/>
          <w:szCs w:val="24"/>
        </w:rPr>
        <w:t xml:space="preserve">Os valores atribuídos às quatro subdimensões de oportunidade política no Quadro 3 (notação abertura·aliados·instabilidade·repressão, em escala heurística de 1 a 5) constituem estimativas analíticas preliminares, elaboradas a partir da literatura secundária e do conhecimento histórico dos casos. Não são medidas obtidas por codificação sistematizada nem por qualquer procedimento de aferição validado. Devem ser lidos como hipóteses de trabalho, sujeitas a revisão à luz do banco de eventos de protesto e da reconstrução processual. A escala não possui, nesta etapa, pretensão de intervalaridade: distâncias entre valores não são necessariamente equivalentes. Qualquer uso desses números deve preservar essas ressalvas.</w:t>
      </w:r>
    </w:p>
    <w:p>
      <w:pPr>
        <w:sectPr>
          <w:footerReference w:type="default" r:id="rId7"/>
          <w:pgSz w:w="11906" w:h="16838" w:orient="portrait"/>
          <w:pgMar w:top="1440" w:right="1134" w:bottom="1440" w:left="1701" w:header="708" w:footer="708" w:gutter="0"/>
          <w:pgNumType/>
          <w:docGrid w:linePitch="360"/>
        </w:sectPr>
      </w:pPr>
    </w:p>
    <w:p>
      <w:pPr>
        <w:spacing w:after="80" w:before="200" w:line="240"/>
      </w:pPr>
      <w:r>
        <w:rPr>
          <w:rFonts w:ascii="Times New Roman" w:cs="Times New Roman" w:eastAsia="Times New Roman" w:hAnsi="Times New Roman"/>
          <w:b/>
          <w:bCs/>
          <w:sz w:val="20"/>
          <w:szCs w:val="20"/>
        </w:rPr>
        <w:t xml:space="preserve">Quadro 3 — Matriz analítica das dimensões da Teoria do Processo Político por episódio</w:t>
      </w:r>
    </w:p>
    <w:tbl>
      <w:tblPr>
        <w:tblW w:type="dxa" w:w="14400"/>
        <w:tblBorders>
          <w:top w:val="single" w:color="888888" w:sz="4"/>
          <w:left w:val="single" w:color="888888" w:sz="4"/>
          <w:bottom w:val="single" w:color="888888" w:sz="4"/>
          <w:right w:val="single" w:color="888888" w:sz="4"/>
          <w:insideH w:val="single" w:color="888888" w:sz="4"/>
          <w:insideV w:val="single" w:color="888888" w:sz="4"/>
        </w:tblBorders>
      </w:tblPr>
      <w:tblGrid>
        <w:gridCol w:w="2050"/>
        <w:gridCol w:w="900"/>
        <w:gridCol w:w="1150"/>
        <w:gridCol w:w="2600"/>
        <w:gridCol w:w="2700"/>
        <w:gridCol w:w="2600"/>
        <w:gridCol w:w="2400"/>
      </w:tblGrid>
      <w:tr>
        <w:trPr>
          <w:tblHeader/>
        </w:trPr>
        <w:tc>
          <w:tcPr>
            <w:tcW w:type="dxa" w:w="2050"/>
            <w:shd w:fill="E2EFDA"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5"/>
                <w:szCs w:val="15"/>
              </w:rPr>
              <w:t xml:space="preserve">Episódio</w:t>
            </w:r>
          </w:p>
        </w:tc>
        <w:tc>
          <w:tcPr>
            <w:tcW w:type="dxa" w:w="900"/>
            <w:shd w:fill="E2EFDA"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5"/>
                <w:szCs w:val="15"/>
              </w:rPr>
              <w:t xml:space="preserve">Período</w:t>
            </w:r>
          </w:p>
        </w:tc>
        <w:tc>
          <w:tcPr>
            <w:tcW w:type="dxa" w:w="1150"/>
            <w:shd w:fill="E2EFDA"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5"/>
                <w:szCs w:val="15"/>
              </w:rPr>
              <w:t xml:space="preserve">EOP
(ab·al·in·rp)*</w:t>
            </w:r>
          </w:p>
        </w:tc>
        <w:tc>
          <w:tcPr>
            <w:tcW w:type="dxa" w:w="2600"/>
            <w:shd w:fill="E2EFDA"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5"/>
                <w:szCs w:val="15"/>
              </w:rPr>
              <w:t xml:space="preserve">Estrutura de mobilização</w:t>
            </w:r>
          </w:p>
        </w:tc>
        <w:tc>
          <w:tcPr>
            <w:tcW w:type="dxa" w:w="2700"/>
            <w:shd w:fill="E2EFDA"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5"/>
                <w:szCs w:val="15"/>
              </w:rPr>
              <w:t xml:space="preserve">Frame diagnóstico</w:t>
            </w:r>
          </w:p>
        </w:tc>
        <w:tc>
          <w:tcPr>
            <w:tcW w:type="dxa" w:w="2600"/>
            <w:shd w:fill="E2EFDA"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5"/>
                <w:szCs w:val="15"/>
              </w:rPr>
              <w:t xml:space="preserve">Frame prognóstico</w:t>
            </w:r>
          </w:p>
        </w:tc>
        <w:tc>
          <w:tcPr>
            <w:tcW w:type="dxa" w:w="2400"/>
            <w:shd w:fill="E2EFDA" w:val="clear"/>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b/>
                <w:bCs/>
                <w:sz w:val="15"/>
                <w:szCs w:val="15"/>
              </w:rPr>
              <w:t xml:space="preserve">Frame motivacional</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Diretas Já (atos finais)</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1985</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4·5·5·2</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Coalizão ampla (oposição partidária + sindicatos + estudantes)</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Regime militar ilegítimo e anacrônico</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Eleições diretas para presidente</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Soberania popular e democracia</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Greve Geral CUT/CGT</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1989</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3·3·3·3</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Centrais sindicais nacionais</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Arrocho salarial e hiperinflação (Plano Verão)</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Reajuste e negociação coletiva</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Dignidade do trabalhador</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Caras Pintadas / Fora Collor</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1992</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4·4·5·1</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Movimento estudantil + sociedade civil difusa</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Corrupção sistêmica (caso PC Farias)</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Impeachment presidencial imediato</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Ética na política e defesa da democracia</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Marcha dos Sem-Terra (MST)</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1997</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2·2·3·4</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Movimento camponês organizado (MST)</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Concentração fundiária e violência rural</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Reforma agrária acelerada pelo Estado</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Justiça social e direito à terra</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Protestos anti-privatização / anti-ALCA</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1999–2002</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2·2·2·3</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Coalizão PT + sindicatos + movimentos</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Neoliberalismo e soberania ameaçados</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Alternativa petista; reversão de privatizações</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Soberania nacional e anticapitalismo</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Marcha contra o Racismo</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2005</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4·4·3·2</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Organizações do movimento negro</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Racismo estrutural e desigualdade racial</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Cotas raciais; criminalização do racismo</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Dignidade e identidade negra</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Jornadas de Junho — fase MPL</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2013</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3·2·3·5</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Rede horizontal MPL + redes sociais</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Tarifa do transporte como injustiça urbana</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Revogação do aumento; passe livre</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Cidade como direito coletivo</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Jornadas de Junho — fase mosaico</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2013</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3·2·4·4</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Ausência de coordenação central; redes digitais</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Corrupção; má gestão; déficit democrático</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Difuso (PEC 37; reforma política; serviços)</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Indignação difusa contra 'o sistema'</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Protestos anti-Copa</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2014</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3·2·3·5</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Redes informais + MTST + MPL</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Megaeventos como transferência de renda</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Moradia; transporte; serviços públicos</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'Não vai ter Copa'; prioridades sociais</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Ciclo pró-impeachment (Vem pra Rua/MBL)</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2015–2016</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4·4·5·1</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Organizações liberais-conservadoras + mídia + redes</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PT como partido corrupto; Dilma incompetente</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Impeachment e 'volta à normalidade'</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Anticorrupção e antipetismo</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Fora Temer / Diretas Já 2016</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2016</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2·2·3·3</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Coalizão de esquerda reativa (Frente Brasil Popular)</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Golpe parlamentar; ilegitimidade de Temer</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Eleições diretas imediatas</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Democracia e reversão do impeachment</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Greve Geral anti-reforma trabalhista</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2017</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2·2·3·3</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Centrais sindicais</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Reforma como destruição de direitos</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Rejeição das reformas trabalhista/previdência</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Defesa da CLT e do bem-estar</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#EleNão</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2018</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3·2·4·2</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Redes feministas + articulação digital</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Bolsonaro como ameaça a direitos</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Derrota eleitoral de Bolsonaro</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Feminismo interseccional; defesa da democracia</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Protestos em defesa da educação</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2019</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2·2·3·3</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Sindicatos docentes + movimento estudantil</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Cortes como desmonte da educação pública</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Reversão dos bloqueios do MEC/Capes</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Universidade pública e ciência como bem comum</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Manifestações anti-Bolsonaro (Covid)</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2020–2021</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2·1·3·4</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Coalizão difusa; baixa coordenação</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Negacionismo na gestão da pandemia</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Impeachment de Bolsonaro; vacinação</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Direito à vida; responsabilização do Estado</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7 de Setembro pró-Bolsonaro</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2021</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3·4·2·1</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Base bolsonarista + aparato presidencial</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STF como inimigo da 'família brasileira'</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Intervenção; enfraquecer o STF</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Patriotismo autoritário; anticomunismo</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Acampamentos golpistas pós-eleição</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2022</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2·3·2·2</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Base bolsonarista + milícia digital</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Narrativa (falsa) de fraude eleitoral</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Intervenção militar; anulação do pleito</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Lealdade pessoal; milenarismo autoritário</w:t>
            </w:r>
          </w:p>
        </w:tc>
      </w:tr>
      <w:tr>
        <w:tc>
          <w:tcPr>
            <w:tcW w:type="dxa" w:w="205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8 de Janeiro</w:t>
            </w:r>
          </w:p>
        </w:tc>
        <w:tc>
          <w:tcPr>
            <w:tcW w:type="dxa" w:w="9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2023</w:t>
            </w:r>
          </w:p>
        </w:tc>
        <w:tc>
          <w:tcPr>
            <w:tcW w:type="dxa" w:w="1150"/>
            <w:tcMar>
              <w:top w:type="dxa" w:w="40"/>
              <w:left w:type="dxa" w:w="60"/>
              <w:bottom w:type="dxa" w:w="40"/>
              <w:right w:type="dxa" w:w="60"/>
            </w:tcMar>
            <w:vAlign w:val="center"/>
          </w:tcPr>
          <w:p>
            <w:pPr>
              <w:spacing w:after="20" w:line="240"/>
              <w:jc w:val="center"/>
            </w:pPr>
            <w:r>
              <w:rPr>
                <w:rFonts w:ascii="Times New Roman" w:cs="Times New Roman" w:eastAsia="Times New Roman" w:hAnsi="Times New Roman"/>
                <w:sz w:val="14"/>
                <w:szCs w:val="14"/>
              </w:rPr>
              <w:t xml:space="preserve">2·2·2·3</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Redes de mensageria + financiadores + omissão</w:t>
            </w:r>
          </w:p>
        </w:tc>
        <w:tc>
          <w:tcPr>
            <w:tcW w:type="dxa" w:w="27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Resultado eleitoral tratado como golpe</w:t>
            </w:r>
          </w:p>
        </w:tc>
        <w:tc>
          <w:tcPr>
            <w:tcW w:type="dxa" w:w="26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Retorno de Bolsonaro ao poder</w:t>
            </w:r>
          </w:p>
        </w:tc>
        <w:tc>
          <w:tcPr>
            <w:tcW w:type="dxa" w:w="2400"/>
            <w:tcMar>
              <w:top w:type="dxa" w:w="40"/>
              <w:left w:type="dxa" w:w="60"/>
              <w:bottom w:type="dxa" w:w="40"/>
              <w:right w:type="dxa" w:w="60"/>
            </w:tcMar>
            <w:vAlign w:val="center"/>
          </w:tcPr>
          <w:p>
            <w:pPr>
              <w:spacing w:after="20" w:line="240"/>
              <w:jc w:val="left"/>
            </w:pPr>
            <w:r>
              <w:rPr>
                <w:rFonts w:ascii="Times New Roman" w:cs="Times New Roman" w:eastAsia="Times New Roman" w:hAnsi="Times New Roman"/>
                <w:sz w:val="14"/>
                <w:szCs w:val="14"/>
              </w:rPr>
              <w:t xml:space="preserve">Radicalismo autocrático ultraconservador</w:t>
            </w:r>
          </w:p>
        </w:tc>
      </w:tr>
    </w:tbl>
    <w:p>
      <w:pPr>
        <w:spacing w:after="200" w:before="40" w:line="240"/>
      </w:pPr>
      <w:r>
        <w:rPr>
          <w:rFonts w:ascii="Times New Roman" w:cs="Times New Roman" w:eastAsia="Times New Roman" w:hAnsi="Times New Roman"/>
          <w:i/>
          <w:iCs/>
          <w:sz w:val="18"/>
          <w:szCs w:val="18"/>
        </w:rPr>
        <w:t xml:space="preserve">* EOP = Estrutura de Oportunidade Política, notação abertura·aliados·instabilidade·repressão, escala HEURÍSTICA de 1 a 5. ATENÇÃO: os escores são ESTIMATIVAS ANALÍTICAS PRELIMINARES elaboradas a partir da literatura secundária — NÃO são medidas obtidas por codificação validada. Devem ser lidos como hipóteses de trabalho a validar contra o banco de eventos de protesto. Fonte: elaboração própria.</w:t>
      </w:r>
    </w:p>
    <w:p>
      <w:pPr>
        <w:sectPr>
          <w:footerReference w:type="default" r:id="rId8"/>
          <w:pgSz w:w="16838" w:h="11906" w:orient="landscape"/>
          <w:pgMar w:top="1134" w:right="1440" w:bottom="1134" w:left="1440" w:header="708" w:footer="708" w:gutter="0"/>
          <w:pgNumType/>
          <w:docGrid w:linePitch="360"/>
        </w:sectPr>
      </w:pPr>
    </w:p>
    <w:p>
      <w:pPr>
        <w:spacing w:after="120" w:line="360"/>
        <w:ind w:firstLine="709"/>
        <w:jc w:val="both"/>
      </w:pPr>
      <w:r>
        <w:rPr>
          <w:rFonts w:ascii="Times New Roman" w:cs="Times New Roman" w:eastAsia="Times New Roman" w:hAnsi="Times New Roman"/>
          <w:sz w:val="24"/>
          <w:szCs w:val="24"/>
        </w:rPr>
        <w:t xml:space="preserve">Feita a ressalva, três padrões comparativos emergem da leitura da matriz e merecem investigação sistemática — sempre no registro do que se conjectura, não do que se demonstra.</w:t>
      </w:r>
    </w:p>
    <w:p>
      <w:pPr>
        <w:spacing w:after="120" w:line="360"/>
        <w:ind w:firstLine="709"/>
        <w:jc w:val="both"/>
      </w:pPr>
      <w:r>
        <w:rPr>
          <w:rFonts w:ascii="Times New Roman" w:cs="Times New Roman" w:eastAsia="Times New Roman" w:hAnsi="Times New Roman"/>
          <w:sz w:val="24"/>
          <w:szCs w:val="24"/>
        </w:rPr>
        <w:t xml:space="preserve">Primeiro, </w:t>
      </w:r>
      <w:r>
        <w:rPr>
          <w:rFonts w:ascii="Times New Roman" w:cs="Times New Roman" w:eastAsia="Times New Roman" w:hAnsi="Times New Roman"/>
          <w:b/>
          <w:bCs/>
          <w:sz w:val="24"/>
          <w:szCs w:val="24"/>
        </w:rPr>
        <w:t xml:space="preserve">dois modelos distintos de abertura institucional</w:t>
      </w:r>
      <w:r>
        <w:rPr>
          <w:rFonts w:ascii="Times New Roman" w:cs="Times New Roman" w:eastAsia="Times New Roman" w:hAnsi="Times New Roman"/>
          <w:sz w:val="24"/>
          <w:szCs w:val="24"/>
        </w:rPr>
        <w:t xml:space="preserve">. Um padrão de abertura bloqueada caracteriza as Diretas Já, em que a intensa mobilização não obteve tradução institucional imediata (a emenda Dante de Oliveira não foi aprovada); um padrão de abertura amplificadora caracteriza o Fora Collor e o impeachment de Dilma, em que a mobilização encontrou canais institucionais receptivos; e um padrão de inércia estrutural caracteriza Junho de 2013, em que a enorme mobilização não se converteu em abertura institucional correspondente. A hipótese a testar é que a diferença reside na configuração de aliados e na divisão de elites, não na magnitude da mobilização.</w:t>
      </w:r>
    </w:p>
    <w:p>
      <w:pPr>
        <w:spacing w:after="120" w:line="360"/>
        <w:ind w:firstLine="709"/>
        <w:jc w:val="both"/>
      </w:pPr>
      <w:r>
        <w:rPr>
          <w:rFonts w:ascii="Times New Roman" w:cs="Times New Roman" w:eastAsia="Times New Roman" w:hAnsi="Times New Roman"/>
          <w:sz w:val="24"/>
          <w:szCs w:val="24"/>
        </w:rPr>
        <w:t xml:space="preserve">Segundo, </w:t>
      </w:r>
      <w:r>
        <w:rPr>
          <w:rFonts w:ascii="Times New Roman" w:cs="Times New Roman" w:eastAsia="Times New Roman" w:hAnsi="Times New Roman"/>
          <w:b/>
          <w:bCs/>
          <w:sz w:val="24"/>
          <w:szCs w:val="24"/>
        </w:rPr>
        <w:t xml:space="preserve">a repressão como variável de sinal contingente</w:t>
      </w:r>
      <w:r>
        <w:rPr>
          <w:rFonts w:ascii="Times New Roman" w:cs="Times New Roman" w:eastAsia="Times New Roman" w:hAnsi="Times New Roman"/>
          <w:sz w:val="24"/>
          <w:szCs w:val="24"/>
        </w:rPr>
        <w:t xml:space="preserve">. Na leitura clássica, a repressão inibe a mobilização. O caso de Junho de 2013 sugere o contrário: a repressão policial da primeira semana funcionou como catalisador da expansão, ao deslocar o enquadramento da pauta tarifária para a pauta da violência estatal e da liberdade de manifestação. Daí a proposta de codificar a repressão de modo invertido nesse caso — hipótese que o process tracing pode confirmar ou refutar ao reconstruir a sequência entre repressão, cobertura midiática e adesão.</w:t>
      </w:r>
    </w:p>
    <w:p>
      <w:pPr>
        <w:spacing w:after="120" w:line="360"/>
        <w:ind w:firstLine="709"/>
        <w:jc w:val="both"/>
      </w:pPr>
      <w:r>
        <w:rPr>
          <w:rFonts w:ascii="Times New Roman" w:cs="Times New Roman" w:eastAsia="Times New Roman" w:hAnsi="Times New Roman"/>
          <w:sz w:val="24"/>
          <w:szCs w:val="24"/>
        </w:rPr>
        <w:t xml:space="preserve">Terceiro, </w:t>
      </w:r>
      <w:r>
        <w:rPr>
          <w:rFonts w:ascii="Times New Roman" w:cs="Times New Roman" w:eastAsia="Times New Roman" w:hAnsi="Times New Roman"/>
          <w:b/>
          <w:bCs/>
          <w:sz w:val="24"/>
          <w:szCs w:val="24"/>
        </w:rPr>
        <w:t xml:space="preserve">a legitimidade narrativa divergente no desfecho</w:t>
      </w:r>
      <w:r>
        <w:rPr>
          <w:rFonts w:ascii="Times New Roman" w:cs="Times New Roman" w:eastAsia="Times New Roman" w:hAnsi="Times New Roman"/>
          <w:sz w:val="24"/>
          <w:szCs w:val="24"/>
        </w:rPr>
        <w:t xml:space="preserve">. Diretas Já e Fora Collor partilham uma trajetória de consolidação estável da memória: ambos os episódios sedimentaram-se como marcos positivos da democratização, a despeito de desfechos institucionais distintos. Junho de 2013 e o impeachment de Dilma partilham o oposto: uma legitimidade permanentemente contestada, disputada por narrativas rivais que não se estabilizaram. A hipótese, aqui, mobiliza diretamente a EOD: o que difere não é o desfecho institucional, mas a capacidade de um enquadramento reter legitimidade após o encerramento do ciclo.</w:t>
      </w:r>
    </w:p>
    <w:p>
      <w:pPr>
        <w:pStyle w:val="Heading1"/>
        <w:keepNext/>
        <w:spacing w:after="160" w:before="280" w:line="360"/>
      </w:pPr>
      <w:r>
        <w:rPr>
          <w:rFonts w:ascii="Times New Roman" w:cs="Times New Roman" w:eastAsia="Times New Roman" w:hAnsi="Times New Roman"/>
          <w:b/>
          <w:bCs/>
          <w:sz w:val="24"/>
          <w:szCs w:val="24"/>
        </w:rPr>
        <w:t xml:space="preserve">6 A estratégia de inferência causal</w:t>
      </w:r>
    </w:p>
    <w:p>
      <w:pPr>
        <w:spacing w:after="120" w:line="360"/>
        <w:ind w:firstLine="709"/>
        <w:jc w:val="both"/>
      </w:pPr>
      <w:r>
        <w:rPr>
          <w:rFonts w:ascii="Times New Roman" w:cs="Times New Roman" w:eastAsia="Times New Roman" w:hAnsi="Times New Roman"/>
          <w:sz w:val="24"/>
          <w:szCs w:val="24"/>
        </w:rPr>
        <w:t xml:space="preserve">A articulação entre os três procedimentos metodológicos define uma estratégia de inferência causal em duas camadas. Na camada transversal, a QCA e os métodos de Mill identificam quais configurações de condições se associam sistematicamente a quais desfechos, estabelecendo o padrão a explicar. Na camada intracaso, o process tracing reconstrói, para casos selecionados, o mecanismo que produz o desfecho, submetendo a explicação a testes de argola e de arma fumegante. A combinação responde a limitações recíprocas: a QCA sozinha estabelece associação sem mecanismo; o process tracing sozinho estabelece mecanismo sem generalidade.</w:t>
      </w:r>
    </w:p>
    <w:p>
      <w:pPr>
        <w:spacing w:after="120" w:line="360"/>
        <w:ind w:firstLine="709"/>
        <w:jc w:val="both"/>
      </w:pPr>
      <w:r>
        <w:rPr>
          <w:rFonts w:ascii="Times New Roman" w:cs="Times New Roman" w:eastAsia="Times New Roman" w:hAnsi="Times New Roman"/>
          <w:sz w:val="24"/>
          <w:szCs w:val="24"/>
        </w:rPr>
        <w:t xml:space="preserve">A sequência operacional prevista é a seguinte. Concluída a codificação do banco de eventos e a atribuição de escores contextuais às fases, calibram-se as condições e constrói-se a tabela-verdade. Das configurações resultantes selecionam-se casos típicos e desviantes para o exame processual: os típicos servem para reconstruir o mecanismo canônico; os desviantes, para identificar mecanismos alternativos ou condições omitidas. O retorno aos casos realimenta a calibração, num movimento iterativo entre comparação e reconstrução que é próprio dos desenhos de métodos mistos rigorosos.</w:t>
      </w:r>
    </w:p>
    <w:p>
      <w:pPr>
        <w:spacing w:after="120" w:line="360"/>
        <w:ind w:firstLine="709"/>
        <w:jc w:val="both"/>
      </w:pPr>
      <w:r>
        <w:rPr>
          <w:rFonts w:ascii="Times New Roman" w:cs="Times New Roman" w:eastAsia="Times New Roman" w:hAnsi="Times New Roman"/>
          <w:sz w:val="24"/>
          <w:szCs w:val="24"/>
        </w:rPr>
        <w:t xml:space="preserve">Convém explicitar os riscos do desenho, na chave da avaliação de risco de projeto. O primeiro risco é de mensuração: a qualidade de toda a inferência depende da confiabilidade da codificação, o que torna a aferição intercodificadores não um formalismo, mas uma precondição. O segundo é de proporção casos/condições na QCA, já discutido, que se mitiga pela exploração da variação fásica. O terceiro é de viés de confirmação no process tracing, que se mitiga pela obrigação de testar mecanismos rivais, e não apenas o mecanismo preferido. Nomear esses riscos antecipadamente é parte do desenho, não apêndice dele.</w:t>
      </w:r>
    </w:p>
    <w:p>
      <w:pPr>
        <w:pStyle w:val="Heading1"/>
        <w:keepNext/>
        <w:spacing w:after="160" w:before="280" w:line="360"/>
      </w:pPr>
      <w:r>
        <w:rPr>
          <w:rFonts w:ascii="Times New Roman" w:cs="Times New Roman" w:eastAsia="Times New Roman" w:hAnsi="Times New Roman"/>
          <w:b/>
          <w:bCs/>
          <w:sz w:val="24"/>
          <w:szCs w:val="24"/>
        </w:rPr>
        <w:t xml:space="preserve">7 Considerações finais</w:t>
      </w:r>
    </w:p>
    <w:p>
      <w:pPr>
        <w:spacing w:after="120" w:line="360"/>
        <w:ind w:firstLine="709"/>
        <w:jc w:val="both"/>
      </w:pPr>
      <w:r>
        <w:rPr>
          <w:rFonts w:ascii="Times New Roman" w:cs="Times New Roman" w:eastAsia="Times New Roman" w:hAnsi="Times New Roman"/>
          <w:sz w:val="24"/>
          <w:szCs w:val="24"/>
        </w:rPr>
        <w:t xml:space="preserve">Este artigo propôs uma matriz analítica para o estudo comparado dos ciclos de protesto brasileiros desde 1985, articulando estruturas de oportunidade política, estruturas de oportunidade discursiva e análise de conjuntura num único triângulo conceitual, e especificou um desenho de métodos mistos apto a convertê-la em pesquisa empírica. A contribuição pretendida é dupla: teórica, ao integrar a dimensão discursiva e a tradição conjuntural a um arcabouço de processo político que tende a subteorizá-las; e metodológica, ao encadear análise de eventos de protesto, comparação configuracional e reconstrução processual numa estratégia de inferência causal explícita.</w:t>
      </w:r>
    </w:p>
    <w:p>
      <w:pPr>
        <w:spacing w:after="120" w:line="360"/>
        <w:ind w:firstLine="709"/>
        <w:jc w:val="both"/>
      </w:pPr>
      <w:r>
        <w:rPr>
          <w:rFonts w:ascii="Times New Roman" w:cs="Times New Roman" w:eastAsia="Times New Roman" w:hAnsi="Times New Roman"/>
          <w:sz w:val="24"/>
          <w:szCs w:val="24"/>
        </w:rPr>
        <w:t xml:space="preserve">O texto insistiu, deliberadamente, no estatuto provisório de seus próprios resultados. O mapeamento é preliminar, a periodização é revisável e, sobretudo, os escores da matriz são hipóteses analíticas, não medidas. Essa insistência não enfraquece a proposta; ao contrário, delimita com precisão o que resta fazer. As próximas etapas — a população do banco de eventos por meio do procedimento de AEP sobre o Acervo Folha, a aferição de confiabilidade, a calibração das condições e a reconstrução processual dos casos selecionados — são o percurso que separa a matriz conjecturada da matriz validada. É esse percurso, e não a matriz em si, que constitui o cerne da agenda de pesquisa aqui inaugurada.</w:t>
      </w:r>
    </w:p>
    <w:p>
      <w:pPr>
        <w:pStyle w:val="Heading1"/>
        <w:keepNext/>
        <w:spacing w:after="160" w:before="280" w:line="360"/>
      </w:pPr>
      <w:r>
        <w:rPr>
          <w:rFonts w:ascii="Times New Roman" w:cs="Times New Roman" w:eastAsia="Times New Roman" w:hAnsi="Times New Roman"/>
          <w:b/>
          <w:bCs/>
          <w:sz w:val="24"/>
          <w:szCs w:val="24"/>
        </w:rPr>
        <w:t xml:space="preserve">8 Limitações</w:t>
      </w:r>
    </w:p>
    <w:p>
      <w:pPr>
        <w:spacing w:after="120" w:line="360"/>
        <w:ind w:firstLine="709"/>
        <w:jc w:val="both"/>
      </w:pPr>
      <w:r>
        <w:rPr>
          <w:rFonts w:ascii="Times New Roman" w:cs="Times New Roman" w:eastAsia="Times New Roman" w:hAnsi="Times New Roman"/>
          <w:sz w:val="24"/>
          <w:szCs w:val="24"/>
        </w:rPr>
        <w:t xml:space="preserve">Três limitações delimitam o alcance do que se apresentou. A primeira é de fonte: a dependência da cobertura de um único jornal introduz vieses de seleção e de descrição conhecidos na literatura de AEP — eventos não cobertos são invisíveis ao banco, e a caracterização dos eventos herda a perspectiva editorial da fonte. A triangulação com fontes adicionais é desejável em etapas posteriores. A segunda é de escopo: a seleção de dezoito episódios de alta visibilidade nacional privilegia a política de rua de maior envergadura e sub-representa mobilizações locais, setoriais e de menor cobertura. A terceira, já enfatizada, é de estatuto dos dados: os escores da matriz não foram validados e não devem ser tratados como medidas.</w:t>
      </w:r>
    </w:p>
    <w:p>
      <w:pPr>
        <w:pStyle w:val="Heading1"/>
        <w:keepNext/>
        <w:spacing w:after="160" w:before="280" w:line="360"/>
      </w:pPr>
      <w:r>
        <w:rPr>
          <w:rFonts w:ascii="Times New Roman" w:cs="Times New Roman" w:eastAsia="Times New Roman" w:hAnsi="Times New Roman"/>
          <w:b/>
          <w:bCs/>
          <w:sz w:val="24"/>
          <w:szCs w:val="24"/>
        </w:rPr>
        <w:t xml:space="preserve">9 Declarações</w:t>
      </w:r>
    </w:p>
    <w:p>
      <w:pPr>
        <w:spacing w:after="80" w:line="360"/>
        <w:jc w:val="both"/>
      </w:pPr>
      <w:r>
        <w:rPr>
          <w:rFonts w:ascii="Times New Roman" w:cs="Times New Roman" w:eastAsia="Times New Roman" w:hAnsi="Times New Roman"/>
          <w:b/>
          <w:bCs/>
          <w:sz w:val="24"/>
          <w:szCs w:val="24"/>
        </w:rPr>
        <w:t xml:space="preserve">Disponibilidade de dados. </w:t>
      </w:r>
      <w:r>
        <w:rPr>
          <w:rFonts w:ascii="Times New Roman" w:cs="Times New Roman" w:eastAsia="Times New Roman" w:hAnsi="Times New Roman"/>
          <w:sz w:val="24"/>
          <w:szCs w:val="24"/>
        </w:rPr>
        <w:t xml:space="preserve">Os bancos protest_events e cycle_phases encontram-se em construção. O livro de códigos, os parâmetros de coleta e os relatórios de confiabilidade serão disponibilizados mediante solicitação e depositados em repositório aberto quando concluída a codificação.</w:t>
      </w:r>
    </w:p>
    <w:p>
      <w:pPr>
        <w:spacing w:after="80" w:line="360"/>
        <w:jc w:val="both"/>
      </w:pPr>
      <w:r>
        <w:rPr>
          <w:rFonts w:ascii="Times New Roman" w:cs="Times New Roman" w:eastAsia="Times New Roman" w:hAnsi="Times New Roman"/>
          <w:b/>
          <w:bCs/>
          <w:sz w:val="24"/>
          <w:szCs w:val="24"/>
        </w:rPr>
        <w:t xml:space="preserve">Uso de inteligência artificial. </w:t>
      </w:r>
      <w:r>
        <w:rPr>
          <w:rFonts w:ascii="Times New Roman" w:cs="Times New Roman" w:eastAsia="Times New Roman" w:hAnsi="Times New Roman"/>
          <w:sz w:val="24"/>
          <w:szCs w:val="24"/>
        </w:rPr>
        <w:t xml:space="preserve">Ferramentas de IA generativa foram empregadas como apoio à estruturação do texto, à sistematização do mapeamento e à especificação dos procedimentos metodológicos, bem como no desenvolvimento do pipeline de coleta e codificação assistida. A concepção teórica, as decisões analíticas, a verificação das fontes e a responsabilidade integral pelo conteúdo são do autor. Nenhuma referência bibliográfica foi gerada sem verificação; entradas não confirmáveis foram sinalizadas para checagem.</w:t>
      </w:r>
    </w:p>
    <w:p>
      <w:pPr>
        <w:spacing w:after="80" w:line="360"/>
        <w:jc w:val="both"/>
      </w:pPr>
      <w:r>
        <w:rPr>
          <w:rFonts w:ascii="Times New Roman" w:cs="Times New Roman" w:eastAsia="Times New Roman" w:hAnsi="Times New Roman"/>
          <w:b/>
          <w:bCs/>
          <w:sz w:val="24"/>
          <w:szCs w:val="24"/>
        </w:rPr>
        <w:t xml:space="preserve">Conflito de interesses. </w:t>
      </w:r>
      <w:r>
        <w:rPr>
          <w:rFonts w:ascii="Times New Roman" w:cs="Times New Roman" w:eastAsia="Times New Roman" w:hAnsi="Times New Roman"/>
          <w:sz w:val="24"/>
          <w:szCs w:val="24"/>
        </w:rPr>
        <w:t xml:space="preserve">O autor declara não haver conflito de interesses.</w:t>
      </w:r>
    </w:p>
    <w:p>
      <w:pPr>
        <w:spacing w:after="160" w:line="360"/>
        <w:jc w:val="both"/>
      </w:pPr>
      <w:r>
        <w:rPr>
          <w:rFonts w:ascii="Times New Roman" w:cs="Times New Roman" w:eastAsia="Times New Roman" w:hAnsi="Times New Roman"/>
          <w:b/>
          <w:bCs/>
          <w:sz w:val="24"/>
          <w:szCs w:val="24"/>
        </w:rPr>
        <w:t xml:space="preserve">Financiamento. </w:t>
      </w:r>
      <w:r>
        <w:rPr>
          <w:rFonts w:ascii="Times New Roman" w:cs="Times New Roman" w:eastAsia="Times New Roman" w:hAnsi="Times New Roman"/>
          <w:i/>
          <w:iCs/>
          <w:sz w:val="24"/>
          <w:szCs w:val="24"/>
        </w:rPr>
        <w:t xml:space="preserve">[A completar pelo autor.]</w:t>
      </w:r>
    </w:p>
    <w:p>
      <w:pPr>
        <w:pStyle w:val="Heading1"/>
        <w:keepNext/>
        <w:spacing w:after="160" w:before="280" w:line="360"/>
      </w:pPr>
      <w:r>
        <w:rPr>
          <w:rFonts w:ascii="Times New Roman" w:cs="Times New Roman" w:eastAsia="Times New Roman" w:hAnsi="Times New Roman"/>
          <w:b/>
          <w:bCs/>
          <w:sz w:val="24"/>
          <w:szCs w:val="24"/>
        </w:rPr>
        <w:t xml:space="preserve">Referências</w:t>
      </w:r>
    </w:p>
    <w:p>
      <w:pPr>
        <w:spacing w:after="120" w:line="240"/>
        <w:jc w:val="both"/>
      </w:pPr>
      <w:r>
        <w:rPr>
          <w:rFonts w:ascii="Times New Roman" w:cs="Times New Roman" w:eastAsia="Times New Roman" w:hAnsi="Times New Roman"/>
          <w:sz w:val="24"/>
          <w:szCs w:val="24"/>
        </w:rPr>
        <w:t xml:space="preserve">ALONSO, Angela. Treze: a política de rua de Lula a Dilma. São Paulo: Companhia das Letras, 2023.</w:t>
      </w:r>
    </w:p>
    <w:p>
      <w:pPr>
        <w:spacing w:after="120" w:line="240"/>
        <w:jc w:val="both"/>
      </w:pPr>
      <w:r>
        <w:rPr>
          <w:rFonts w:ascii="Times New Roman" w:cs="Times New Roman" w:eastAsia="Times New Roman" w:hAnsi="Times New Roman"/>
          <w:sz w:val="24"/>
          <w:szCs w:val="24"/>
        </w:rPr>
        <w:t xml:space="preserve">ALONSO, Angela et al. Análise de Eventos de Protesto: decisões metodológicas na organização do Banco de Eventos de Protesto (BEP) 2013-2016. Plural, São Paulo, v. 31, n. 2, p. 288-323, 2024.</w:t>
      </w:r>
    </w:p>
    <w:p>
      <w:pPr>
        <w:spacing w:after="120" w:line="240"/>
        <w:jc w:val="both"/>
      </w:pPr>
      <w:r>
        <w:rPr>
          <w:rFonts w:ascii="Times New Roman" w:cs="Times New Roman" w:eastAsia="Times New Roman" w:hAnsi="Times New Roman"/>
          <w:sz w:val="24"/>
          <w:szCs w:val="24"/>
        </w:rPr>
        <w:t xml:space="preserve">BEACH, Derek; PEDERSEN, Rasmus Brun. Process-Tracing Methods: Foundations and Guidelines. 2. ed. Ann Arbor: University of Michigan Press, 2019.</w:t>
      </w:r>
    </w:p>
    <w:p>
      <w:pPr>
        <w:spacing w:after="120" w:line="240"/>
        <w:jc w:val="both"/>
      </w:pPr>
      <w:r>
        <w:rPr>
          <w:rFonts w:ascii="Times New Roman" w:cs="Times New Roman" w:eastAsia="Times New Roman" w:hAnsi="Times New Roman"/>
          <w:sz w:val="24"/>
          <w:szCs w:val="24"/>
        </w:rPr>
        <w:t xml:space="preserve">BENFORD, Robert D.; SNOW, David A. Framing Processes and Social Movements: An Overview and Assessment. Annual Review of Sociology, v. 26, p. 611-639, 2000.</w:t>
      </w:r>
    </w:p>
    <w:p>
      <w:pPr>
        <w:spacing w:after="120" w:line="240"/>
        <w:jc w:val="both"/>
      </w:pPr>
      <w:r>
        <w:rPr>
          <w:rFonts w:ascii="Times New Roman" w:cs="Times New Roman" w:eastAsia="Times New Roman" w:hAnsi="Times New Roman"/>
          <w:sz w:val="24"/>
          <w:szCs w:val="24"/>
        </w:rPr>
        <w:t xml:space="preserve">COSTA, Gustavo. [Título da tese de doutorado sobre ciclos de protesto no Brasil]. Tese (Doutorado) — [instituição], 2024. [Dados bibliográficos completos a inserir pelo autor.]</w:t>
      </w:r>
    </w:p>
    <w:p>
      <w:pPr>
        <w:spacing w:after="120" w:line="240"/>
        <w:jc w:val="both"/>
      </w:pPr>
      <w:r>
        <w:rPr>
          <w:rFonts w:ascii="Times New Roman" w:cs="Times New Roman" w:eastAsia="Times New Roman" w:hAnsi="Times New Roman"/>
          <w:sz w:val="24"/>
          <w:szCs w:val="24"/>
        </w:rPr>
        <w:t xml:space="preserve">GEORGE, Alexander L.; BENNETT, Andrew. Case Studies and Theory Development in the Social Sciences. Cambridge, MA: MIT Press, 2005.</w:t>
      </w:r>
    </w:p>
    <w:p>
      <w:pPr>
        <w:spacing w:after="120" w:line="240"/>
        <w:jc w:val="both"/>
      </w:pPr>
      <w:r>
        <w:rPr>
          <w:rFonts w:ascii="Times New Roman" w:cs="Times New Roman" w:eastAsia="Times New Roman" w:hAnsi="Times New Roman"/>
          <w:sz w:val="24"/>
          <w:szCs w:val="24"/>
        </w:rPr>
        <w:t xml:space="preserve">KOOPMANS, Ruud; OLZAK, Susan. Discursive Opportunities and the Evolution of Right-Wing Violence in Germany. American Journal of Sociology, v. 110, n. 1, p. 198-230, 2004.</w:t>
      </w:r>
    </w:p>
    <w:p>
      <w:pPr>
        <w:spacing w:after="120" w:line="240"/>
        <w:jc w:val="both"/>
      </w:pPr>
      <w:r>
        <w:rPr>
          <w:rFonts w:ascii="Times New Roman" w:cs="Times New Roman" w:eastAsia="Times New Roman" w:hAnsi="Times New Roman"/>
          <w:sz w:val="24"/>
          <w:szCs w:val="24"/>
        </w:rPr>
        <w:t xml:space="preserve">KOOPMANS, Ruud; STATHAM, Paul. Political Claims Analysis: Integrating Protest Event and Political Discourse Approaches. Mobilization, v. 4, n. 2, p. 203-221, 1999.</w:t>
      </w:r>
    </w:p>
    <w:p>
      <w:pPr>
        <w:spacing w:after="120" w:line="240"/>
        <w:jc w:val="both"/>
      </w:pPr>
      <w:r>
        <w:rPr>
          <w:rFonts w:ascii="Times New Roman" w:cs="Times New Roman" w:eastAsia="Times New Roman" w:hAnsi="Times New Roman"/>
          <w:sz w:val="24"/>
          <w:szCs w:val="24"/>
        </w:rPr>
        <w:t xml:space="preserve">KRIESI, Hanspeter et al. New Social Movements in Western Europe: A Comparative Analysis. Minneapolis: University of Minnesota Press, 1995.</w:t>
      </w:r>
    </w:p>
    <w:p>
      <w:pPr>
        <w:spacing w:after="120" w:line="240"/>
        <w:jc w:val="both"/>
      </w:pPr>
      <w:r>
        <w:rPr>
          <w:rFonts w:ascii="Times New Roman" w:cs="Times New Roman" w:eastAsia="Times New Roman" w:hAnsi="Times New Roman"/>
          <w:sz w:val="24"/>
          <w:szCs w:val="24"/>
        </w:rPr>
        <w:t xml:space="preserve">McADAM, Doug; TARROW, Sidney; TILLY, Charles. Dynamics of Contention. Cambridge: Cambridge University Press, 2001.</w:t>
      </w:r>
    </w:p>
    <w:p>
      <w:pPr>
        <w:spacing w:after="120" w:line="240"/>
        <w:jc w:val="both"/>
      </w:pPr>
      <w:r>
        <w:rPr>
          <w:rFonts w:ascii="Times New Roman" w:cs="Times New Roman" w:eastAsia="Times New Roman" w:hAnsi="Times New Roman"/>
          <w:sz w:val="24"/>
          <w:szCs w:val="24"/>
        </w:rPr>
        <w:t xml:space="preserve">McCAMMON, Holly J. Discursive Opportunity Structure. In: SNOW, David A. et al. (eds.). The Wiley-Blackwell Encyclopedia of Social and Political Movements. Oxford: Wiley-Blackwell, 2013.</w:t>
      </w:r>
    </w:p>
    <w:p>
      <w:pPr>
        <w:spacing w:after="120" w:line="240"/>
        <w:jc w:val="both"/>
      </w:pPr>
      <w:r>
        <w:rPr>
          <w:rFonts w:ascii="Times New Roman" w:cs="Times New Roman" w:eastAsia="Times New Roman" w:hAnsi="Times New Roman"/>
          <w:sz w:val="24"/>
          <w:szCs w:val="24"/>
        </w:rPr>
        <w:t xml:space="preserve">RAGIN, Charles C. Redesigning Social Inquiry: Fuzzy Sets and Beyond. Chicago: University of Chicago Press, 2008.</w:t>
      </w:r>
    </w:p>
    <w:p>
      <w:pPr>
        <w:spacing w:after="120" w:line="240"/>
        <w:jc w:val="both"/>
      </w:pPr>
      <w:r>
        <w:rPr>
          <w:rFonts w:ascii="Times New Roman" w:cs="Times New Roman" w:eastAsia="Times New Roman" w:hAnsi="Times New Roman"/>
          <w:sz w:val="24"/>
          <w:szCs w:val="24"/>
        </w:rPr>
        <w:t xml:space="preserve">TARROW, Sidney. Power in Movement: Social Movements and Contentious Politics. Cambridge: Cambridge University Press. [Confirmar edição utilizada.]</w:t>
      </w:r>
    </w:p>
    <w:p>
      <w:pPr>
        <w:spacing w:after="120" w:line="240"/>
        <w:jc w:val="both"/>
      </w:pPr>
      <w:r>
        <w:rPr>
          <w:rFonts w:ascii="Times New Roman" w:cs="Times New Roman" w:eastAsia="Times New Roman" w:hAnsi="Times New Roman"/>
          <w:sz w:val="24"/>
          <w:szCs w:val="24"/>
        </w:rPr>
        <w:t xml:space="preserve">TILLY, Charles. Contentious Performances. Cambridge: Cambridge University Press, 2008.</w:t>
      </w:r>
    </w:p>
    <w:p>
      <w:pPr>
        <w:spacing w:after="80" w:before="160" w:line="240"/>
      </w:pPr>
      <w:r>
        <w:rPr>
          <w:rFonts w:ascii="Times New Roman" w:cs="Times New Roman" w:eastAsia="Times New Roman" w:hAnsi="Times New Roman"/>
          <w:b/>
          <w:bCs/>
          <w:sz w:val="22"/>
          <w:szCs w:val="22"/>
        </w:rPr>
        <w:t xml:space="preserve">Nota editorial sobre as referências</w:t>
      </w:r>
    </w:p>
    <w:p>
      <w:pPr>
        <w:spacing w:after="120" w:line="240"/>
        <w:jc w:val="both"/>
      </w:pPr>
      <w:r>
        <w:rPr>
          <w:rFonts w:ascii="Times New Roman" w:cs="Times New Roman" w:eastAsia="Times New Roman" w:hAnsi="Times New Roman"/>
          <w:i/>
          <w:iCs/>
          <w:sz w:val="20"/>
          <w:szCs w:val="20"/>
        </w:rPr>
        <w:t xml:space="preserve">As referências acima foram verificadas quanto à existência e aos dados essenciais. Entradas com colchetes ([...]) indicam informação que não pôde ser confirmada nesta etapa e deve ser completada pelo autor a partir das fontes primárias. Interlocutores teóricos citados na tese (Costa, 2024) e mencionados no corpo do texto — entre outros, Dobry, della Porta, Ferree e colaboradores, Singer, Gohn, Tatagiba, Galvão — devem ter suas entradas bibliográficas inseridas a partir da bibliografia da própria tese, com dados exatos, antes de qualquer submissão. Nenhuma referência foi fabricada: o que não se pôde verificar foi explicitamente sinalizado.</w:t>
      </w:r>
    </w:p>
    <w:sectPr>
      <w:footerReference w:type="default" r:id="rId9"/>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line="360"/>
      <w:outlineLvl w:val="0"/>
    </w:pPr>
    <w:rPr>
      <w:rFonts w:ascii="Times New Roman" w:cs="Times New Roman" w:eastAsia="Times New Roman" w:hAnsi="Times New Roman"/>
      <w:b/>
      <w:bCs/>
      <w:color w:val="000000"/>
      <w:sz w:val="26"/>
      <w:szCs w:val="26"/>
    </w:rPr>
  </w:style>
  <w:style w:type="paragraph" w:styleId="Heading2">
    <w:name w:val="Heading 2"/>
    <w:basedOn w:val="Normal"/>
    <w:next w:val="Normal"/>
    <w:qFormat/>
    <w:pPr>
      <w:spacing w:after="120" w:before="220" w:line="36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Ciclos de protesto no Brasil (1985–presente)</dc:title>
  <dc:creator>Gustavo Costa</dc:creator>
  <cp:lastModifiedBy>Un-named</cp:lastModifiedBy>
  <cp:revision>1</cp:revision>
  <dcterms:created xsi:type="dcterms:W3CDTF">2026-07-04T14:00:28.783Z</dcterms:created>
  <dcterms:modified xsi:type="dcterms:W3CDTF">2026-07-04T14:00:28.784Z</dcterms:modified>
</cp:coreProperties>
</file>

<file path=docProps/custom.xml><?xml version="1.0" encoding="utf-8"?>
<Properties xmlns="http://schemas.openxmlformats.org/officeDocument/2006/custom-properties" xmlns:vt="http://schemas.openxmlformats.org/officeDocument/2006/docPropsVTypes"/>
</file>