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85CD" w14:textId="77777777" w:rsidR="008A1083" w:rsidRDefault="00197DEE" w:rsidP="009A4309">
      <w:pPr>
        <w:spacing w:after="0" w:line="240" w:lineRule="auto"/>
      </w:pPr>
      <w:r>
        <w:rPr>
          <w:rFonts w:ascii="Times New Roman" w:hAnsi="Times New Roman" w:cs="Times New Roman"/>
          <w:b/>
          <w:bCs/>
          <w:sz w:val="28"/>
          <w:szCs w:val="28"/>
        </w:rPr>
        <w:t xml:space="preserve">ROYALTIES DOS DADOS EM DEBATE: </w:t>
      </w:r>
      <w:r>
        <w:rPr>
          <w:rFonts w:ascii="Times New Roman" w:hAnsi="Times New Roman" w:cs="Times New Roman"/>
          <w:b/>
          <w:bCs/>
          <w:sz w:val="24"/>
          <w:szCs w:val="24"/>
        </w:rPr>
        <w:t>contribuição dos usuários, repartição de benefícios e soberania digital no Brasil</w:t>
      </w:r>
    </w:p>
    <w:p w14:paraId="1577C63E" w14:textId="77777777" w:rsidR="008A1083" w:rsidRDefault="008A1083">
      <w:pPr>
        <w:spacing w:after="0" w:line="240" w:lineRule="auto"/>
        <w:jc w:val="center"/>
      </w:pPr>
    </w:p>
    <w:p w14:paraId="2EFCF7EA" w14:textId="77777777" w:rsidR="008A1083" w:rsidRDefault="00197DEE">
      <w:pPr>
        <w:spacing w:after="0" w:line="240" w:lineRule="auto"/>
        <w:jc w:val="center"/>
      </w:pPr>
      <w:r>
        <w:rPr>
          <w:rFonts w:ascii="Times New Roman" w:hAnsi="Times New Roman" w:cs="Times New Roman"/>
          <w:b/>
          <w:bCs/>
          <w:sz w:val="28"/>
          <w:szCs w:val="28"/>
        </w:rPr>
        <w:t xml:space="preserve">DATA ROYALTIES UNDER DEBATE: </w:t>
      </w:r>
      <w:r>
        <w:rPr>
          <w:rFonts w:ascii="Times New Roman" w:hAnsi="Times New Roman" w:cs="Times New Roman"/>
          <w:b/>
          <w:bCs/>
          <w:sz w:val="24"/>
          <w:szCs w:val="24"/>
        </w:rPr>
        <w:t xml:space="preserve">user contribution, benefit sharing and digital sovereignty in Brazil</w:t>
      </w:r>
    </w:p>
    <w:p w14:paraId="39BF991C" w14:textId="77777777" w:rsidR="008A1083" w:rsidRDefault="008A1083">
      <w:pPr>
        <w:spacing w:after="0" w:line="240" w:lineRule="auto"/>
        <w:jc w:val="both"/>
      </w:pPr>
    </w:p>
    <w:p w14:paraId="06619D7E" w14:textId="77777777" w:rsidR="008A1083" w:rsidRDefault="008A1083">
      <w:pPr>
        <w:spacing w:after="0" w:line="240" w:lineRule="auto"/>
        <w:jc w:val="both"/>
      </w:pPr>
    </w:p>
    <w:p w14:paraId="69E3A7D6" w14:textId="77777777" w:rsidR="008A1083" w:rsidRDefault="00197DEE">
      <w:pPr>
        <w:spacing w:after="0" w:line="240" w:lineRule="auto"/>
        <w:jc w:val="both"/>
      </w:pPr>
      <w:r>
        <w:rPr>
          <w:rFonts w:ascii="Times New Roman" w:hAnsi="Times New Roman" w:cs="Times New Roman"/>
          <w:b/>
          <w:bCs/>
          <w:sz w:val="28"/>
          <w:szCs w:val="28"/>
        </w:rPr>
        <w:t>RESUMO</w:t>
      </w:r>
      <w:r>
        <w:br/>
      </w:r>
      <w:r>
        <w:rPr>
          <w:rFonts w:ascii="Times New Roman" w:hAnsi="Times New Roman" w:cs="Times New Roman"/>
          <w:sz w:val="24"/>
          <w:szCs w:val="24"/>
        </w:rPr>
        <w:t xml:space="preserve">O artigo examina o debate sobre os chamados royalties dos dados a partir da hipótese patrimonial coletiva, segundo a qual os recursos informacionais formados pela agregação dos registros comportamentais dos usuários constituem patrimônio coletivo de uso comum, hoje apropriado de fato, com habilitação jurídica, por quem controla as bases. O objetivo é avaliar sob quais condições essa contribuição fundamentaria direitos de participação nos benefícios, que natureza jurídica teria a obrigação correspondente e como eventuais recursos poderiam ampliar a soberania digital no Brasil. A pesquisa, qualitativa, combina revisão bibliográfica e análises documental e jurídica e propõe a noção de DINFRA, que articula componentes físicos, ativos intangíveis e relações de controle da infraestrutura digital. A hipótese é sustentada em três passos: o valor dos dados comportamentais agregados é relacional e populacional; o direito não o atribui a ninguém e, ao mesmo tempo, habilita sua captura; e um recurso compartilhado sujeito a cercamento exige regime de uso coletivo separado da titularidade. Os riscos da retenção, da transferência internacional e do cruzamento de bases, que vão da exposição de terceiros à degradação de processos democráticos, reforçam a destinação coletiva da compensação. Os resultados confirmam a hipótese em parte. A dimensão coletiva sustenta, no direito vigente, formas de governança e de destinação dos benefícios; o componente patrimonial é proposta de direito a constituir, que depende do reconhecimento normativo dos recursos informacionais como bem de uso comum. Propõe-se um modelo regulatório em etapas: compensação sobre bases públicas, regulação de mercado e transparência do processamento; transição de dois anos com divulgação obrigatória, auditoria e mesas de diálogo; e compensação sobre o armazenamento de dados de usuários por controladores privados, graduada por porte, tipo de uso e risco, com deduções por investimentos. Orientado por uma soberania digital centrada nos direitos dos usuários, o artigo indica, por fim, diretrizes para estudos sobre um Plano Nacional de Soberania Digital.</w:t>
      </w:r>
    </w:p>
    <w:p w14:paraId="5DAABE5E" w14:textId="77777777" w:rsidR="008A1083" w:rsidRDefault="00197DEE">
      <w:pPr>
        <w:spacing w:after="0" w:line="240" w:lineRule="auto"/>
        <w:jc w:val="both"/>
      </w:pPr>
      <w:r>
        <w:rPr>
          <w:rFonts w:ascii="Times New Roman" w:hAnsi="Times New Roman" w:cs="Times New Roman"/>
          <w:b/>
          <w:bCs/>
          <w:sz w:val="24"/>
          <w:szCs w:val="24"/>
        </w:rPr>
        <w:t>Palavras-chave:</w:t>
      </w:r>
      <w:r>
        <w:rPr>
          <w:rFonts w:ascii="Times New Roman" w:hAnsi="Times New Roman" w:cs="Times New Roman"/>
          <w:sz w:val="24"/>
          <w:szCs w:val="24"/>
        </w:rPr>
        <w:t xml:space="preserve"> royalties dos dados; patrimônio coletivo; dados comportamentais; soberania digital; governança coletiva de dados.</w:t>
      </w:r>
    </w:p>
    <w:p w14:paraId="7A55FF20" w14:textId="77777777" w:rsidR="008A1083" w:rsidRDefault="00197DEE">
      <w:pPr>
        <w:spacing w:before="240" w:after="0" w:line="240" w:lineRule="auto"/>
        <w:jc w:val="both"/>
      </w:pPr>
      <w:r>
        <w:rPr>
          <w:rFonts w:ascii="Times New Roman" w:hAnsi="Times New Roman" w:cs="Times New Roman"/>
          <w:b/>
          <w:bCs/>
          <w:sz w:val="28"/>
          <w:szCs w:val="28"/>
        </w:rPr>
        <w:t>ABSTRACT</w:t>
      </w:r>
      <w:r>
        <w:br/>
      </w:r>
      <w:r>
        <w:rPr>
          <w:rFonts w:ascii="Times New Roman" w:hAnsi="Times New Roman" w:cs="Times New Roman"/>
          <w:lang w:val="en-US"/>
          <w:sz w:val="24"/>
          <w:szCs w:val="24"/>
        </w:rPr>
        <w:t xml:space="preserve">This article examines the debate on so-called data royalties through the collective patrimonial hypothesis, according to which the informational resources formed by aggregating users’ behavioural records constitute a collective common-use patrimony, currently appropriated de facto, with legal enablement, by those who control the databases. Its objective is to assess under which conditions such contributions would ground rights to share in the benefits, what legal nature the corresponding obligation would have and how any resulting resources could expand Brazil’s digital sovereignty. The qualitative research combines a literature review with documentary and legal analysis and proposes the notion of DINFRA, which articulates the physical components, intangible assets and control relations of digital infrastructure. The hypothesis is built in three steps: the value of aggregated behavioural data is relational and population-based; the law assigns it to no one while enabling its capture; and a shared resource subject to enclosure requires a collective-use regime separate from ownership. The risks of retention, international transfer and database cross-referencing, ranging from the exposure of third parties to the degradation of democratic processes, reinforce the collective allocation of compensation. The results partially confirm the hypothesis. Under current law, the collective dimension supports forms of governance and of allocation of benefits; the patrimonial component is a de lege ferenda proposal that depends on legal recognition of informational resources as a common-use good. The article proposes a phased regulatory model: compensation on public databases, market regulation and transparency of processing; a two-year transition with mandatory disclosure, auditing and dialogue tables; and compensation on the storage of users’ data by private controllers, graduated by company size, type of use and risk, with investment deductions. Guided by a digital sovereignty centred on users’ rights, the article outlines guidelines for further studies on a National Digital Sovereignty Plan.</w:t>
      </w:r>
    </w:p>
    <w:p w14:paraId="50296CCE" w14:textId="77777777" w:rsidR="008A1083" w:rsidRDefault="00197DEE">
      <w:pPr>
        <w:spacing w:after="0" w:line="240" w:lineRule="auto"/>
        <w:jc w:val="both"/>
      </w:pPr>
      <w:r>
        <w:rPr>
          <w:rFonts w:ascii="Times New Roman" w:hAnsi="Times New Roman" w:cs="Times New Roman"/>
          <w:b/>
          <w:bCs/>
          <w:sz w:val="24"/>
          <w:szCs w:val="24"/>
        </w:rPr>
        <w:lastRenderedPageBreak/>
        <w:t>Keywords:</w:t>
      </w:r>
      <w:r>
        <w:rPr>
          <w:rFonts w:ascii="Times New Roman" w:hAnsi="Times New Roman" w:cs="Times New Roman"/>
          <w:sz w:val="24"/>
          <w:szCs w:val="24"/>
          <w:lang w:val="en-US"/>
        </w:rPr>
        <w:t xml:space="preserve"> data royalties; collective patrimony; behavioural data; digital sovereignty; collective data governance.</w:t>
      </w:r>
    </w:p>
    <w:p w14:paraId="603FF02D" w14:textId="77777777" w:rsidR="008A1083" w:rsidRDefault="008A1083">
      <w:pPr>
        <w:spacing w:before="240" w:after="0" w:line="360" w:lineRule="auto"/>
      </w:pPr>
    </w:p>
    <w:p>
      <w:pPr>
        <w:pStyle w:val="Ttulo1"/>
        <w:numPr>
          <w:ilvl w:val="0"/>
          <w:numId w:val="0"/>
        </w:numPr>
        <w:spacing w:before="240" w:after="120" w:line="360" w:lineRule="auto"/>
      </w:pPr>
      <w:r>
        <w:rPr>
          <w:rFonts w:ascii="Times New Roman" w:hAnsi="Times New Roman" w:cs="Times New Roman"/>
          <w:b/>
          <w:bCs/>
          <w:sz w:val="28"/>
          <w:szCs w:val="28"/>
        </w:rPr>
        <w:t xml:space="preserve">1. INTRODUÇÃO</w:t>
      </w:r>
    </w:p>
    <w:p>
      <w:pPr>
        <w:pStyle w:val="Texto"/>
      </w:pPr>
      <w:r>
        <w:rPr>
          <w:rFonts w:ascii="Times New Roman" w:hAnsi="Times New Roman" w:cs="Times New Roman"/>
          <w:sz w:val="24"/>
          <w:szCs w:val="24"/>
        </w:rPr>
        <w:t xml:space="preserve">As interações dos usuários com serviços digitais geram registros que, isolados, têm pouca utilidade. Reunidos em bases e processados em larga escala, esses mesmos registros sustentam publicidade segmentada, serviços de intermediação e sistemas de inteligência artificial. A economia dos dados se organiza em torno dessa combinação, e seus benefícios se distribuem conforme as posições que cada agente ocupa nas cadeias que a sustentam. A UNCTAD (2021, p. 29, 42, 82 e 90–92) associa a captura de valor ao acesso a dados, ao conhecimento especializado, aos recursos computacionais e às condições institucionais.</w:t>
      </w:r>
    </w:p>
    <w:p>
      <w:pPr>
        <w:pStyle w:val="Texto"/>
      </w:pPr>
      <w:r>
        <w:rPr>
          <w:rFonts w:ascii="Times New Roman" w:hAnsi="Times New Roman" w:cs="Times New Roman"/>
          <w:sz w:val="24"/>
          <w:szCs w:val="24"/>
        </w:rPr>
        <w:t xml:space="preserve">Nesse quadro, o Brasil ocupa uma posição particular. Em 2025, 85% da população com 10 anos ou mais usava a internet, o equivalente a 157 milhões de pessoas (NIC.br, 2025), e levantamento internacional situa o país entre os de maior tempo diário de conexão, com mais de nove horas por dia em média (Kepios; We Are Social; Meltwater, 2026). No mesmo ano, o déficit da conta de serviços do balanço de pagamentos chegou a US$ 52,9 bilhões, e as despesas líquidas com propriedade intelectual e com serviços de telecomunicação, computação e informações cresceram em relação ao ano anterior (Banco Central do Brasil, 2026). Entre 2014 e 2025, o setor público gastou cerca de R$ 23 bilhões com licenças de software, soluções de nuvem, aplicações de segurança e serviços similares fornecidos por corporações estrangeiras (Belli et al., 2026b, p. 190). Esses números não medem o valor associado aos registros dos usuários brasileiros. Mostram, contudo, um país com uma grande população geradora de registros comportamentais, que contrata de agentes externos parte relevante das capacidades computacionais usadas para armazená-los e processá-los e cuja economia, do setor público ao pequeno comércio, depende cada vez mais dessas infraestruturas.</w:t>
      </w:r>
    </w:p>
    <w:p>
      <w:pPr>
        <w:pStyle w:val="Texto"/>
      </w:pPr>
      <w:r>
        <w:rPr>
          <w:rFonts w:ascii="Times New Roman" w:hAnsi="Times New Roman" w:cs="Times New Roman"/>
          <w:sz w:val="24"/>
          <w:szCs w:val="24"/>
        </w:rPr>
        <w:t xml:space="preserve">É nesse contexto que surge o debate sobre os chamados royalties dos dados. Vianna (2021, p. 130–131 e 136) observa que a LGPD não assegura retorno pecuniário aos usuários e propõe aplicar aos dados a lógica pela qual União, estados e municípios participam dos resultados da exploração do petróleo. No Congresso Nacional, tramitam proposições que preveem mecanismos de remuneração direta aos usuários (Belli et al., 2026a, p. 36-41). A expressão royalties dos dados nomeia, portanto, um debate, e não uma figura jurídica estabelecida. A analogia com o petróleo ajuda a formular perguntas, mas tem limites: diferentemente do petróleo, os dados não são rivais, podem ser reproduzidos e nascem do próprio uso dos serviços (Farronato, 2026).</w:t>
      </w:r>
    </w:p>
    <w:p>
      <w:pPr>
        <w:pStyle w:val="Texto"/>
      </w:pPr>
      <w:r>
        <w:rPr>
          <w:rFonts w:ascii="Times New Roman" w:hAnsi="Times New Roman" w:cs="Times New Roman"/>
          <w:sz w:val="24"/>
          <w:szCs w:val="24"/>
        </w:rPr>
        <w:t xml:space="preserve">O problema desta pesquisa está na passagem da contribuição ao direito. Reconhecer que os usuários contribuem para formar recursos informacionais não equivale a reconhecer que tenham direito a uma parcela dos benefícios obtidos com sua exploração, e tampouco implica que esses recursos pertençam ao Estado. A investigação parte, por isso, de uma pergunta delimitada: sob quais condições a contribuição dos usuários à formação de recursos informacionais poderia fundamentar direitos de participação nos benefícios econômicos da economia dos dados, que natureza jurídica teria a obrigação correspondente e de que modo eventuais recursos poderiam ampliar as capacidades brasileiras de soberania digital?</w:t>
      </w:r>
    </w:p>
    <w:p>
      <w:pPr>
        <w:pStyle w:val="Texto"/>
      </w:pPr>
      <w:r>
        <w:rPr>
          <w:rFonts w:ascii="Times New Roman" w:hAnsi="Times New Roman" w:cs="Times New Roman"/>
          <w:sz w:val="24"/>
          <w:szCs w:val="24"/>
        </w:rPr>
        <w:t xml:space="preserve">A literatura consultada responde a essa pergunta apenas em parte, e deixa três lacunas. A primeira é jurídica: as propostas de royalties ou dividendos dos dados pouco examinam o fundamento e a natureza da obrigação no ordenamento brasileiro, e a analogia com o petróleo pressupõe uma titularidade que não está estabelecida. A segunda é conceitual. As leituras dos dados como trabalho (Arrieta-Ibarra et al., 2018), como recurso apropriado (Couldry; Mejias, 2018) e como ativo (Birch; Cochrane; Ward, 2021) divergem quanto ao lugar da contribuição dos usuários e dialogam pouco com as categorias da proteção de dados e com os direitos coletivos. A terceira é institucional: a soberania digital costuma aparecer como finalidade de eventuais benefícios, sem que se examinem as capacidades que eles deveriam desenvolver nem os componentes físicos e intangíveis da infraestrutura sobre a qual atuariam.</w:t>
      </w:r>
    </w:p>
    <w:p>
      <w:pPr>
        <w:pStyle w:val="Texto"/>
      </w:pPr>
      <w:r>
        <w:rPr>
          <w:rFonts w:ascii="Times New Roman" w:hAnsi="Times New Roman" w:cs="Times New Roman"/>
          <w:sz w:val="24"/>
          <w:szCs w:val="24"/>
        </w:rPr>
        <w:t xml:space="preserve">Para enfrentar essas lacunas, a pesquisa formula a hipótese patrimonial coletiva. Segundo ela, os recursos informacionais formados pela agregação dos registros dos usuários, sobretudo dos registros de comportamento, constituem um patrimônio coletivo de uso comum, e não estatal, hoje apropriado de fato por quem controla as bases; a interdependência das contribuições justifica direitos de participação nos benefícios, exercidos coletivamente e preservadas as posições individuais asseguradas pela proteção de dados. A hipótese ganha urgência quando se considera o que está em jogo: registros de comportamento de centenas de milhões de pessoas são armazenados, processados, transferidos ao exterior e combinados em bases diversas, sem que a coletividade que os gera participe de sua governança ou de seus resultados, e com riscos que alcançam terceiros, a economia e os próprios processos democráticos. O objetivo geral é examinar essa hipótese diante das objeções da literatura, dos instrumentos jurídicos existentes, da situação brasileira e das experiências internacionais. Dele decorrem cinco objetivos específicos: delimitar a infraestrutura digital, a dependência computacional e a soberania digital como categorias de análise; examinar os fundamentos e as objeções à participação dos usuários nos benefícios; avaliar o alcance dos instrumentos brasileiros e das experiências estrangeiras; comparar modelos de repartição quanto ao fundamento e à natureza jurídica; e indicar diretrizes para estudos posteriores sobre um Plano Nacional de Soberania Digital.</w:t>
      </w:r>
    </w:p>
    <w:p>
      <w:pPr>
        <w:pStyle w:val="Texto"/>
      </w:pPr>
      <w:r>
        <w:rPr>
          <w:rFonts w:ascii="Times New Roman" w:hAnsi="Times New Roman" w:cs="Times New Roman"/>
          <w:sz w:val="24"/>
          <w:szCs w:val="24"/>
        </w:rPr>
        <w:t xml:space="preserve">A investigação se justifica em dois planos. No teórico, ela separa questões que o debate costuma fundir: contribuição coletiva e titularidade, interesse público e propriedade estatal, não rivalidade e bem público, titularidade de dados pessoais e propriedade, necessidade de financiamento e fundamento de uma obrigação. Para isso, propõe a noção de DINFRA, que reúne os componentes físicos e intangíveis da infraestrutura digital e permite perguntar quem controla as capacidades efetivamente disponíveis. No plano prático, o tema segue em aberto e tem urgência própria. A experiência recente do mercado de apostas mostra o custo de regular tarde: a disciplina abrangente do setor só veio quando seus efeitos sociais já tinham escala nacional (Banco Central do Brasil, 2024). A economia dos dados comportamentais apresenta um problema que já se desenha com clareza, e esta pesquisa pergunta se o direito pode antecipar-se a ele. A questão tem, ainda, dimensão comercial: em julho de 2026, o Representante de Comércio dos Estados Unidos anunciou tarifas sobre determinados produtos brasileiros, citando, entre outras práticas, o comércio digital e os serviços de pagamento eletrônico (USTR, 2026).</w:t>
      </w:r>
    </w:p>
    <w:p>
      <w:pPr>
        <w:pStyle w:val="Texto"/>
      </w:pPr>
      <w:r>
        <w:rPr>
          <w:rFonts w:ascii="Times New Roman" w:hAnsi="Times New Roman" w:cs="Times New Roman"/>
          <w:sz w:val="24"/>
          <w:szCs w:val="24"/>
        </w:rPr>
        <w:t xml:space="preserve">A pesquisa adota abordagem qualitativa e combina revisão bibliográfica, análise documental e análise jurídica. Além desta introdução, o artigo tem quatro seções. A segunda apresenta a fundamentação teórica: a economia dos dados, a DINFRA, os serviços baseados em dados, a dependência computacional e a soberania digital, as leituras sobre a contribuição dos usuários, a formulação da hipótese patrimonial coletiva e os riscos sistêmicos dos dados comportamentais. A terceira descreve a metodologia. A quarta submete a hipótese às objeções, examina os instrumentos existentes, a situação brasileira, as experiências internacionais e os modelos de repartição, e termina com uma agenda de estudos para um Plano Nacional de Soberania Digital. A quinta reúne as conclusões.</w:t>
      </w:r>
    </w:p>
    <w:p>
      <w:pPr>
        <w:pStyle w:val="Ttulo1"/>
        <w:numPr>
          <w:ilvl w:val="0"/>
          <w:numId w:val="0"/>
        </w:numPr>
        <w:spacing w:before="240" w:after="120" w:line="360" w:lineRule="auto"/>
      </w:pPr>
      <w:r>
        <w:rPr>
          <w:rFonts w:ascii="Times New Roman" w:hAnsi="Times New Roman" w:cs="Times New Roman"/>
          <w:b/>
          <w:bCs/>
          <w:sz w:val="28"/>
          <w:szCs w:val="28"/>
        </w:rPr>
        <w:t xml:space="preserve">2. FUNDAMENTAÇÃO TEÓRICA</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2.1 Economia dos dados</w:t>
      </w:r>
    </w:p>
    <w:p>
      <w:pPr>
        <w:pStyle w:val="Texto"/>
      </w:pPr>
      <w:r>
        <w:rPr>
          <w:rFonts w:ascii="Times New Roman" w:hAnsi="Times New Roman" w:cs="Times New Roman"/>
          <w:sz w:val="24"/>
          <w:szCs w:val="24"/>
        </w:rPr>
        <w:t xml:space="preserve">Nem toda atividade que utiliza um computador pertence à economia digital. Para evitar essa expansão indevida do conceito, Bukht e Heeks (2017, p. 11–13) distinguem três abrangências. No centro está o setor digital, que produz bens e serviços tecnológicos, como equipamentos,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e serviços de informação. Em torno dele, a economia digital agrega os novos serviços e modelos de negócios baseados nessas tecnologias. A economia digitalizada, mais ampla, alcança sua aplicação nos demais setores. Uma padaria que recebe pedidos por aplicativo participa da economia digitalizada, mas não integra o setor digital. A Figura 1 representa essas abrangências.</w:t>
      </w:r>
    </w:p>
    <w:p>
      <w:pPr>
        <w:pStyle w:val="Texto"/>
      </w:pPr>
      <w:r>
        <w:rPr>
          <w:rFonts w:ascii="Times New Roman" w:hAnsi="Times New Roman" w:cs="Times New Roman"/>
          <w:sz w:val="24"/>
          <w:szCs w:val="24"/>
        </w:rPr>
        <w:t xml:space="preserve">Dois termos frequentemente tratados como sinônimos pedem distinção semelhante. Digitizar é converter informações analógicas em formato digital, como ao escanear um documento em papel; digitalizar é transformar os processos e as relações sociais que passam a se organizar em torno dessas tecnologias (Brennen; Kreiss, 2016). A diferença separa a mudança técnica no suporte dos registros das transformações, mais amplas, na maneira como eles são produzidos e utilizados.</w:t>
      </w:r>
    </w:p>
    <w:p>
      <w:pPr>
        <w:pStyle w:val="Texto"/>
      </w:pPr>
      <w:r>
        <w:rPr>
          <w:rFonts w:ascii="Times New Roman" w:hAnsi="Times New Roman" w:cs="Times New Roman"/>
          <w:sz w:val="24"/>
          <w:szCs w:val="24"/>
        </w:rPr>
        <w:t xml:space="preserve">O uso econômico de registros, contudo, é anterior a ambas as transformações. Registros e informações já orientavam decisões sobre produção, distribuição de recursos e outras necessidades sociais (Dantas et al., 2025, cap. I). As tecnologias digitais ampliaram as possibilidades de coletá-los, combiná-los e processá-los. Nesta pesquisa, a economia dos dados compreende as atividades em que essas operações participam de forma relevante da organização produtiva ou da geração de receitas. O critério é a relevância dessas operações: a simples presença de dados não basta para incluir uma atividade no recorte. Assim definida, a economia dos dados não coincide com nenhuma das três abrangências. Ela atravessa todas, como indica a faixa vertical da Figura 1.</w:t>
      </w:r>
    </w:p>
    <w:p>
      <w:pPr>
        <w:keepNext/>
        <w:spacing w:before="240" w:after="120" w:line="240" w:lineRule="auto"/>
        <w:jc w:val="center"/>
      </w:pPr>
      <w:r>
        <w:rPr>
          <w:rFonts w:ascii="Times New Roman" w:hAnsi="Times New Roman" w:cs="Times New Roman"/>
          <w:b/>
          <w:bCs/>
          <w:sz w:val="22"/>
          <w:szCs w:val="22"/>
        </w:rPr>
        <w:t xml:space="preserve">Figura 1 – Dimensões da economia digital e posição da economia dos dados</w:t>
      </w:r>
    </w:p>
    <w:p>
      <w:pPr>
        <w:keepNext/>
        <w:spacing w:before="0" w:after="0" w:line="240" w:lineRule="auto"/>
        <w:jc w:val="center"/>
      </w:pPr>
      <w:r>
        <w:drawing>
          <wp:inline distT="0" distB="0" distL="0" distR="0">
            <wp:extent cx="5580000" cy="3682348"/>
            <wp:docPr id="1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a1.png"/>
                    <pic:cNvPicPr/>
                  </pic:nvPicPr>
                  <pic:blipFill>
                    <a:blip r:embed="rIdFig1"/>
                    <a:stretch>
                      <a:fillRect/>
                    </a:stretch>
                  </pic:blipFill>
                  <pic:spPr>
                    <a:xfrm>
                      <a:off x="0" y="0"/>
                      <a:ext cx="5580000" cy="3682348"/>
                    </a:xfrm>
                    <a:prstGeom prst="rect">
                      <a:avLst/>
                    </a:prstGeom>
                  </pic:spPr>
                </pic:pic>
              </a:graphicData>
            </a:graphic>
          </wp:inline>
        </w:drawing>
      </w:r>
    </w:p>
    <w:p>
      <w:pPr>
        <w:spacing w:before="60" w:after="240" w:line="240" w:lineRule="auto"/>
      </w:pPr>
      <w:r>
        <w:rPr>
          <w:rFonts w:ascii="Times New Roman" w:hAnsi="Times New Roman" w:cs="Times New Roman"/>
          <w:sz w:val="20"/>
          <w:szCs w:val="20"/>
        </w:rPr>
        <w:t xml:space="preserve">Fonte: elaboração própria, com base em Bukht e Heeks (2017, p. 11–13).</w:t>
      </w:r>
    </w:p>
    <w:p>
      <w:pPr>
        <w:pStyle w:val="Texto"/>
      </w:pPr>
      <w:r>
        <w:rPr>
          <w:rFonts w:ascii="Times New Roman" w:hAnsi="Times New Roman" w:cs="Times New Roman"/>
          <w:sz w:val="24"/>
          <w:szCs w:val="24"/>
        </w:rPr>
        <w:t xml:space="preserve">Por isso, a economia dos dados se estende por diferentes setores e modelos de negócios. Mitchell, Ker e Lesher (2021, p. 6 e 9) mostram como empresas nascidas no ambiente digital combinam análise de dados, </w:t>
      </w:r>
      <w:r>
        <w:rPr>
          <w:rFonts w:ascii="Times New Roman" w:hAnsi="Times New Roman" w:cs="Times New Roman"/>
          <w:i/>
          <w:iCs/>
          <w:sz w:val="24"/>
          <w:szCs w:val="24"/>
        </w:rPr>
        <w:t xml:space="preserve">marketing</w:t>
      </w:r>
      <w:r>
        <w:rPr>
          <w:rFonts w:ascii="Times New Roman" w:hAnsi="Times New Roman" w:cs="Times New Roman"/>
          <w:sz w:val="24"/>
          <w:szCs w:val="24"/>
        </w:rPr>
        <w:t xml:space="preserve"> digital e inteligência artificial. O alcance desse aproveitamento, porém, não é uniforme: depende das características dos dados e das condições em que são utilizados.</w:t>
      </w:r>
    </w:p>
    <w:p>
      <w:pPr>
        <w:pStyle w:val="Texto"/>
      </w:pPr>
      <w:r>
        <w:rPr>
          <w:rFonts w:ascii="Times New Roman" w:hAnsi="Times New Roman" w:cs="Times New Roman"/>
          <w:sz w:val="24"/>
          <w:szCs w:val="24"/>
        </w:rPr>
        <w:t xml:space="preserve">A não rivalidade é a característica mais lembrada. Diferentemente de um bem que se consome ao ser usado, um conjunto de dados pode servir a vários agentes sem se esgotar. Isso não o torna livre, já que meios técnicos e contratuais podem restringir o acesso. A acumulação, por sua vez, não garante valor. Combinar bases pode ampliar sua utilidade, mas o resultado depende do conteúdo, da qualidade e da finalidade de uso; acumular mais dados não assegura, portanto, aumento proporcional de seu valor econômico (Mitchell; Ker; Lesher, 2021, p. 9–11).</w:t>
      </w:r>
    </w:p>
    <w:p>
      <w:pPr>
        <w:pStyle w:val="Texto"/>
      </w:pPr>
      <w:r>
        <w:rPr>
          <w:rFonts w:ascii="Times New Roman" w:hAnsi="Times New Roman" w:cs="Times New Roman"/>
          <w:sz w:val="24"/>
          <w:szCs w:val="24"/>
        </w:rPr>
        <w:t xml:space="preserve">O aproveitamento dos dados requer, ainda, equipamentos,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e competências especializadas, e sua utilidade muda com o tempo: alguns registros perdem relevância rapidamente, enquanto séries históricas podem ganhar novas aplicações. Na cadeia produtiva, registros de pessoas, máquinas, operações ou fenômenos são organizados e analisados para gerar informações destinadas ao uso interno ou à comercialização (Mitchell; Ker; Lesher, 2021, p. 13–16).</w:t>
      </w:r>
    </w:p>
    <w:p>
      <w:pPr>
        <w:pStyle w:val="Texto"/>
      </w:pPr>
      <w:r>
        <w:rPr>
          <w:rFonts w:ascii="Times New Roman" w:hAnsi="Times New Roman" w:cs="Times New Roman"/>
          <w:sz w:val="24"/>
          <w:szCs w:val="24"/>
        </w:rPr>
        <w:t xml:space="preserve">Essas condições de aproveitamento também pesam na distribuição dos benefícios. Cassiolato et al. (2025) associam a atuação das grandes corporações digitais à concentração de riqueza e poder e discutem suas implicações para a privacidade e a autonomia. A análise precisa considerar, além de quem gera os dados, quem controla o acesso e o processamento que sustentam seu uso econômico.</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2.2 DINFRA: materialidade e ativos intangíveis da infraestrutura digital</w:t>
      </w:r>
    </w:p>
    <w:p>
      <w:pPr>
        <w:pStyle w:val="Texto"/>
      </w:pPr>
      <w:r>
        <w:rPr>
          <w:rFonts w:ascii="Times New Roman" w:hAnsi="Times New Roman" w:cs="Times New Roman"/>
          <w:sz w:val="24"/>
          <w:szCs w:val="24"/>
        </w:rPr>
        <w:t xml:space="preserve">A palavra nuvem sugere algo sem peso nem lugar. Ao reconstituir a formação histórica da computação em nuvem, Hu (2015, p. xii) mostra que essa aparente imaterialidade oculta o trabalho necessário à operação e as redes preexistentes sobre as quais ela se desenvolveu. O aproveitamento econômico dos dados depende, de fato, de equipamentos, redes e instalações. Seria igualmente impreciso, porém, reduzir a infraestrutura a seus elementos tangíveis. A OCDE (2023, p. 20–21) observa que a inteligência artificial, embora percebida como sistema intangível, assenta-se em infraestrutura física, e define a capacidade computacional como camadas articuladas de </w:t>
      </w:r>
      <w:r>
        <w:rPr>
          <w:rFonts w:ascii="Times New Roman" w:hAnsi="Times New Roman" w:cs="Times New Roman"/>
          <w:i/>
          <w:iCs/>
          <w:sz w:val="24"/>
          <w:szCs w:val="24"/>
        </w:rPr>
        <w:t xml:space="preserve">hardware</w:t>
      </w:r>
      <w:r>
        <w:rPr>
          <w:rFonts w:ascii="Times New Roman" w:hAnsi="Times New Roman" w:cs="Times New Roman"/>
          <w:sz w:val="24"/>
          <w:szCs w:val="24"/>
        </w:rPr>
        <w:t xml:space="preserve"> e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Servidores sem programas, licenças e profissionais capazes de operá-los não formam capacidade utilizável.</w:t>
      </w:r>
    </w:p>
    <w:p>
      <w:pPr>
        <w:pStyle w:val="Texto"/>
      </w:pPr>
      <w:r>
        <w:rPr>
          <w:rFonts w:ascii="Times New Roman" w:hAnsi="Times New Roman" w:cs="Times New Roman"/>
          <w:sz w:val="24"/>
          <w:szCs w:val="24"/>
        </w:rPr>
        <w:t xml:space="preserve">A literatura sobre infraestrutura digital oferece um ponto de partida para tratar essa articulação entre o físico e o imaterial. Tilson, Lyytinen e Sørensen (2010) compreendem a infraestrutura digital como organização sociotécnica compartilhada, heterogênea e sujeita a transformações. Nessa perspectiva, padrões, protocolos e conhecimentos podem integrar a infraestrutura, desde que participem de seu funcionamento.</w:t>
      </w:r>
    </w:p>
    <w:p>
      <w:pPr>
        <w:pStyle w:val="Texto"/>
      </w:pPr>
      <w:r>
        <w:rPr>
          <w:rFonts w:ascii="Times New Roman" w:hAnsi="Times New Roman" w:cs="Times New Roman"/>
          <w:sz w:val="24"/>
          <w:szCs w:val="24"/>
        </w:rPr>
        <w:t xml:space="preserve">Nesta pesquisa, a DINFRA (infraestrutura digital) designa o conjunto articulado de instalações, equipamentos computacionais, redes de comunicação, sistemas de operação e ativos intangíveis que sustenta o armazenamento, o processamento e a transmissão de dados. A noção reúne a base física e os elementos imateriais que a tornam operável e que definem quem pode adaptá-la. Os dados processados ficam fora da DINFRA. A escolha afasta a metáfora dos dados como infraestrutura, que, segundo Nolin (2020), nega aos dados valor intrínseco e atribui os ganhos a quem os processa. Se os dados integrassem a infraestrutura, as bases formadas pelos registros dos usuários se confundiriam com o arranjo controlado por quem o opera. Mantidos à parte, os registros e as bases formadas por sua combinação podem ser tratados como objeto da análise distributiva, separados da infraestrutura em que circulam.</w:t>
      </w:r>
    </w:p>
    <w:p>
      <w:pPr>
        <w:pStyle w:val="Texto"/>
      </w:pPr>
      <w:r>
        <w:rPr>
          <w:rFonts w:ascii="Times New Roman" w:hAnsi="Times New Roman" w:cs="Times New Roman"/>
          <w:sz w:val="24"/>
          <w:szCs w:val="24"/>
        </w:rPr>
        <w:t xml:space="preserve">Incluir ativos intangíveis exige critério; sem ele, qualquer patente, marca ou rotina de uma empresa poderia ser chamada de infraestrutura. Um ativo intangível só integra a DINFRA quando atende, ao mesmo tempo, a três condições. Deve estar vinculado a um componente físico ou lógico do arranjo examinado. Deve ser necessário para operar, manter, adaptar ou substituir o serviço prestado à organização usuária. E deve ter um titular ou controlador identificável, seja o fornecedor, a organização usuária ou um terceiro, o que permite associá-lo às relações de controle. Em geral, atendem a essas condições o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e as licenças de uso, as patentes e outros direitos sobre equipamentos e protocolos, as interfaces e os padrões técnicos e o conhecimento necessário à operação e à manutenção. Ficam de fora o conteúdo dos dados, os produtos analíticos derivados dos registros, como perfis e inferências, e o capital intangível geral das empresas, como o valor comercial das marcas, os gastos com publicidade e a estrutura organizacional não vinculada ao serviço.</w:t>
      </w:r>
    </w:p>
    <w:p>
      <w:pPr>
        <w:pStyle w:val="Texto"/>
      </w:pPr>
      <w:r>
        <w:rPr>
          <w:rFonts w:ascii="Times New Roman" w:hAnsi="Times New Roman" w:cs="Times New Roman"/>
          <w:sz w:val="24"/>
          <w:szCs w:val="24"/>
        </w:rPr>
        <w:t xml:space="preserve">A classificação de Corrado, Hulten e Sichel (2009) ajuda a operar essa seleção. Os autores agrupam os investimentos intangíveis em três categorias: informação computadorizada, que reúne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e bases de dados; propriedade inovativa, que abrange pesquisa e desenvolvimento científico e não científico; e competências econômicas, que incluem valor de marca, formação de pessoal e estrutura organizacional. A DINFRA aproveita cada categoria de forma seletiva. Da primeira, incorpora o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mas não o conteúdo das bases de dados; da segunda, os resultados de pesquisa e desenvolvimento materializados em equipamentos, protocolos e sistemas; da terceira, apenas a formação e as competências de operação e manutenção. Dois casos pedem tratamento próprio. Marcas e certificações só integram o arranjo quando constituem requisito de contratação ou de compatibilidade técnica. Já os modelos treinados a partir de dados ocupam posição intermediária: integram a DINFRA quando licenciados e empregados como sistemas na prestação do serviço, e contam como resultado do aproveitamento quando examinados como produto dos registros dos usuários. O Quadro 1 sintetiza esse recorte.</w:t>
      </w:r>
    </w:p>
    <w:p>
      <w:pPr>
        <w:keepNext/>
        <w:spacing w:before="240" w:after="120" w:line="240" w:lineRule="auto"/>
        <w:jc w:val="center"/>
      </w:pPr>
      <w:r>
        <w:rPr>
          <w:rFonts w:ascii="Times New Roman" w:hAnsi="Times New Roman" w:cs="Times New Roman"/>
          <w:b/>
          <w:bCs/>
          <w:sz w:val="22"/>
          <w:szCs w:val="22"/>
        </w:rPr>
        <w:t xml:space="preserve">Quadro 1 – Delimitação dos ativos intangíveis da DINFRA</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200"/>
        <w:gridCol w:w="3600"/>
        <w:gridCol w:w="3271"/>
      </w:tblGrid>
      <w:tr>
        <w:trPr>
          <w:tblHeader/>
          <w:cantSplit/>
        </w:trPr>
        <w:tc>
          <w:tcPr>
            <w:tcW w:w="2200" w:type="dxa"/>
            <w:shd w:val="clear" w:color="auto" w:fill="D9D9D9"/>
          </w:tcPr>
          <w:p>
            <w:pPr>
              <w:spacing w:before="0" w:after="0" w:line="240" w:lineRule="auto"/>
              <w:jc w:val="left"/>
            </w:pPr>
            <w:r>
              <w:rPr>
                <w:rFonts w:ascii="Times New Roman" w:hAnsi="Times New Roman" w:cs="Times New Roman"/>
                <w:b/>
                <w:bCs/>
                <w:sz w:val="20"/>
                <w:szCs w:val="20"/>
              </w:rPr>
              <w:t xml:space="preserve">Categoria</w:t>
            </w:r>
          </w:p>
        </w:tc>
        <w:tc>
          <w:tcPr>
            <w:tcW w:w="3600" w:type="dxa"/>
            <w:shd w:val="clear" w:color="auto" w:fill="D9D9D9"/>
          </w:tcPr>
          <w:p>
            <w:pPr>
              <w:spacing w:before="0" w:after="0" w:line="240" w:lineRule="auto"/>
              <w:jc w:val="left"/>
            </w:pPr>
            <w:r>
              <w:rPr>
                <w:rFonts w:ascii="Times New Roman" w:hAnsi="Times New Roman" w:cs="Times New Roman"/>
                <w:b/>
                <w:bCs/>
                <w:sz w:val="20"/>
                <w:szCs w:val="20"/>
              </w:rPr>
              <w:t xml:space="preserve">Integra a DINFRA</w:t>
            </w:r>
          </w:p>
        </w:tc>
        <w:tc>
          <w:tcPr>
            <w:tcW w:w="3271" w:type="dxa"/>
            <w:shd w:val="clear" w:color="auto" w:fill="D9D9D9"/>
          </w:tcPr>
          <w:p>
            <w:pPr>
              <w:spacing w:before="0" w:after="0" w:line="240" w:lineRule="auto"/>
              <w:jc w:val="left"/>
            </w:pPr>
            <w:r>
              <w:rPr>
                <w:rFonts w:ascii="Times New Roman" w:hAnsi="Times New Roman" w:cs="Times New Roman"/>
                <w:b/>
                <w:bCs/>
                <w:sz w:val="20"/>
                <w:szCs w:val="20"/>
              </w:rPr>
              <w:t xml:space="preserve">Não integra a DINFRA</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Informação computadorizada</w:t>
            </w:r>
          </w:p>
        </w:tc>
        <w:tc>
          <w:tcPr>
            <w:tcW w:w="3600" w:type="dxa"/>
          </w:tcPr>
          <w:p>
            <w:pPr>
              <w:spacing w:before="0" w:after="0" w:line="240" w:lineRule="auto"/>
              <w:jc w:val="left"/>
            </w:pPr>
            <w:r>
              <w:rPr>
                <w:rFonts w:ascii="Times New Roman" w:hAnsi="Times New Roman" w:cs="Times New Roman"/>
                <w:i/>
                <w:iCs/>
                <w:sz w:val="20"/>
                <w:szCs w:val="20"/>
              </w:rPr>
              <w:t xml:space="preserve">Software</w:t>
            </w:r>
            <w:r>
              <w:rPr>
                <w:rFonts w:ascii="Times New Roman" w:hAnsi="Times New Roman" w:cs="Times New Roman"/>
                <w:sz w:val="20"/>
                <w:szCs w:val="20"/>
              </w:rPr>
              <w:t xml:space="preserve"> de sistemas e aplicações; sistemas de gerenciamento de bases de dados; licenças de uso</w:t>
            </w:r>
          </w:p>
        </w:tc>
        <w:tc>
          <w:tcPr>
            <w:tcW w:w="3271" w:type="dxa"/>
          </w:tcPr>
          <w:p>
            <w:pPr>
              <w:spacing w:before="0" w:after="0" w:line="240" w:lineRule="auto"/>
              <w:jc w:val="left"/>
            </w:pPr>
            <w:r>
              <w:rPr>
                <w:rFonts w:ascii="Times New Roman" w:hAnsi="Times New Roman" w:cs="Times New Roman"/>
                <w:sz w:val="20"/>
                <w:szCs w:val="20"/>
              </w:rPr>
              <w:t xml:space="preserve">Conteúdo das bases de dados; perfis e inferências derivados dos registros</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Propriedade inovativa</w:t>
            </w:r>
          </w:p>
        </w:tc>
        <w:tc>
          <w:tcPr>
            <w:tcW w:w="3600" w:type="dxa"/>
          </w:tcPr>
          <w:p>
            <w:pPr>
              <w:spacing w:before="0" w:after="0" w:line="240" w:lineRule="auto"/>
              <w:jc w:val="left"/>
            </w:pPr>
            <w:r>
              <w:rPr>
                <w:rFonts w:ascii="Times New Roman" w:hAnsi="Times New Roman" w:cs="Times New Roman"/>
                <w:sz w:val="20"/>
                <w:szCs w:val="20"/>
              </w:rPr>
              <w:t xml:space="preserve">Patentes e resultados de pesquisa e desenvolvimento incorporados a equipamentos, protocolos e sistemas; interfaces e padrões técnicos</w:t>
            </w:r>
          </w:p>
        </w:tc>
        <w:tc>
          <w:tcPr>
            <w:tcW w:w="3271" w:type="dxa"/>
          </w:tcPr>
          <w:p>
            <w:pPr>
              <w:spacing w:before="0" w:after="0" w:line="240" w:lineRule="auto"/>
              <w:jc w:val="left"/>
            </w:pPr>
            <w:r>
              <w:rPr>
                <w:rFonts w:ascii="Times New Roman" w:hAnsi="Times New Roman" w:cs="Times New Roman"/>
                <w:sz w:val="20"/>
                <w:szCs w:val="20"/>
              </w:rPr>
              <w:t xml:space="preserve">Pesquisa e desenvolvimento sem relação com o serviço examinado</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Competências econômicas</w:t>
            </w:r>
          </w:p>
        </w:tc>
        <w:tc>
          <w:tcPr>
            <w:tcW w:w="3600" w:type="dxa"/>
          </w:tcPr>
          <w:p>
            <w:pPr>
              <w:spacing w:before="0" w:after="0" w:line="240" w:lineRule="auto"/>
              <w:jc w:val="left"/>
            </w:pPr>
            <w:r>
              <w:rPr>
                <w:rFonts w:ascii="Times New Roman" w:hAnsi="Times New Roman" w:cs="Times New Roman"/>
                <w:sz w:val="20"/>
                <w:szCs w:val="20"/>
              </w:rPr>
              <w:t xml:space="preserve">Formação e conhecimento técnico de operação e manutenção; marcas e certificações quando requisito de contratação ou de compatibilidade técnica</w:t>
            </w:r>
          </w:p>
        </w:tc>
        <w:tc>
          <w:tcPr>
            <w:tcW w:w="3271" w:type="dxa"/>
          </w:tcPr>
          <w:p>
            <w:pPr>
              <w:spacing w:before="0" w:after="0" w:line="240" w:lineRule="auto"/>
              <w:jc w:val="left"/>
            </w:pPr>
            <w:r>
              <w:rPr>
                <w:rFonts w:ascii="Times New Roman" w:hAnsi="Times New Roman" w:cs="Times New Roman"/>
                <w:sz w:val="20"/>
                <w:szCs w:val="20"/>
              </w:rPr>
              <w:t xml:space="preserve">Valor comercial de marca; publicidade; estrutura organizacional não vinculada ao serviço</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Caso intermediário: modelos treinados</w:t>
            </w:r>
          </w:p>
        </w:tc>
        <w:tc>
          <w:tcPr>
            <w:tcW w:w="3600" w:type="dxa"/>
          </w:tcPr>
          <w:p>
            <w:pPr>
              <w:spacing w:before="0" w:after="0" w:line="240" w:lineRule="auto"/>
              <w:jc w:val="left"/>
            </w:pPr>
            <w:r>
              <w:rPr>
                <w:rFonts w:ascii="Times New Roman" w:hAnsi="Times New Roman" w:cs="Times New Roman"/>
                <w:sz w:val="20"/>
                <w:szCs w:val="20"/>
              </w:rPr>
              <w:t xml:space="preserve">Quando licenciados e empregados como sistemas na prestação do serviço</w:t>
            </w:r>
          </w:p>
        </w:tc>
        <w:tc>
          <w:tcPr>
            <w:tcW w:w="3271" w:type="dxa"/>
          </w:tcPr>
          <w:p>
            <w:pPr>
              <w:spacing w:before="0" w:after="0" w:line="240" w:lineRule="auto"/>
              <w:jc w:val="left"/>
            </w:pPr>
            <w:r>
              <w:rPr>
                <w:rFonts w:ascii="Times New Roman" w:hAnsi="Times New Roman" w:cs="Times New Roman"/>
                <w:sz w:val="20"/>
                <w:szCs w:val="20"/>
              </w:rPr>
              <w:t xml:space="preserve">Quando examinados como produto dos registros dos usuários</w:t>
            </w:r>
          </w:p>
        </w:tc>
      </w:tr>
    </w:tbl>
    <w:p>
      <w:pPr>
        <w:spacing w:before="60" w:after="240" w:line="240" w:lineRule="auto"/>
      </w:pPr>
      <w:r>
        <w:rPr>
          <w:rFonts w:ascii="Times New Roman" w:hAnsi="Times New Roman" w:cs="Times New Roman"/>
          <w:sz w:val="20"/>
          <w:szCs w:val="20"/>
        </w:rPr>
        <w:t xml:space="preserve">Fonte: elaboração própria, com base nas categorias de Corrado, Hulten e Sichel (2009).</w:t>
      </w:r>
    </w:p>
    <w:p>
      <w:pPr>
        <w:pStyle w:val="Texto"/>
      </w:pPr>
      <w:r>
        <w:rPr>
          <w:rFonts w:ascii="Times New Roman" w:hAnsi="Times New Roman" w:cs="Times New Roman"/>
          <w:sz w:val="24"/>
          <w:szCs w:val="24"/>
        </w:rPr>
        <w:t xml:space="preserve">Com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licenças, interfaces e conhecimentos técnicos na análise, o controle deixa de depender apenas de quem possui os equipamentos. Os servidores podem pertencer a um agente, e as licenças, os sistemas e o conhecimento necessários à sua operação, a outro. Um centro de dados instalado no país pode depender de </w:t>
      </w:r>
      <w:r>
        <w:rPr>
          <w:rFonts w:ascii="Times New Roman" w:hAnsi="Times New Roman" w:cs="Times New Roman"/>
          <w:i/>
          <w:iCs/>
          <w:sz w:val="24"/>
          <w:szCs w:val="24"/>
        </w:rPr>
        <w:t xml:space="preserve">software</w:t>
      </w:r>
      <w:r>
        <w:rPr>
          <w:rFonts w:ascii="Times New Roman" w:hAnsi="Times New Roman" w:cs="Times New Roman"/>
          <w:sz w:val="24"/>
          <w:szCs w:val="24"/>
        </w:rPr>
        <w:t xml:space="preserve"> licenciado, de atualizações remotas e de competências que a organização usuária não domina. Localização e controle respondem a perguntas diferentes, e é o controle que tende a definir as possibilidades de adaptação e substituição.</w:t>
      </w:r>
    </w:p>
    <w:p>
      <w:pPr>
        <w:pStyle w:val="Texto"/>
      </w:pPr>
      <w:r>
        <w:rPr>
          <w:rFonts w:ascii="Times New Roman" w:hAnsi="Times New Roman" w:cs="Times New Roman"/>
          <w:sz w:val="24"/>
          <w:szCs w:val="24"/>
        </w:rPr>
        <w:t xml:space="preserve">A análise precisa, ainda, de uma escala definida. Sua unidade é o arranjo mobilizado para prestar um serviço digital determinado a uma organização usuária situada no Brasil. Quando um órgão público contrata armazenamento em nuvem, por exemplo, o arranjo examinado reúne as instalações, os sistemas, as licenças e os fornecedores necessários a essa prestação. Um centro de dados ou uma cadeia de fornecedores entra na análise como parte desse arranjo, e não como unidade autônoma.</w:t>
      </w:r>
    </w:p>
    <w:p>
      <w:pPr>
        <w:pStyle w:val="Texto"/>
      </w:pPr>
      <w:r>
        <w:rPr>
          <w:rFonts w:ascii="Times New Roman" w:hAnsi="Times New Roman" w:cs="Times New Roman"/>
          <w:sz w:val="24"/>
          <w:szCs w:val="24"/>
        </w:rPr>
        <w:t xml:space="preserve">Uma sigla própria merece justificativa, já que termos como centro de dados, computação em nuvem e plataforma circulam amplamente. Eles descrevem partes do arranjo, mas não são intercambiáveis: o centro de dados é uma instalação; a nuvem, uma forma de prestação; a plataforma, um serviço que organiza interações. As fronteiras entre eles também se movem. Plantin et al. (2016, p. 1) mostram que plataformas podem adquirir características de infraestrutura, enquanto infraestruturas incorporam formas de organização próprias das plataformas. A DINFRA não pretende ser uma categoria teórica nova. Delimita um recorte operacional que reúne componentes físicos e intangíveis sob o mesmo arranjo, algo que nenhum desses termos faz isoladamente.</w:t>
      </w:r>
    </w:p>
    <w:p>
      <w:pPr>
        <w:pStyle w:val="Texto"/>
      </w:pPr>
      <w:r>
        <w:rPr>
          <w:rFonts w:ascii="Times New Roman" w:hAnsi="Times New Roman" w:cs="Times New Roman"/>
          <w:sz w:val="24"/>
          <w:szCs w:val="24"/>
        </w:rPr>
        <w:t xml:space="preserve">Nada disso torna o território irrelevante. Instalações e equipamentos dependem de fornecimento energético e de condições locais de funcionamento, mesmo quando atendem usuários distantes, e a IEA (2025, p. 38) aponta que a concentração espacial de centros de dados pode criar dificuldades para as redes elétricas locais.</w:t>
      </w:r>
    </w:p>
    <w:p>
      <w:pPr>
        <w:pStyle w:val="Texto"/>
      </w:pPr>
      <w:r>
        <w:rPr>
          <w:rFonts w:ascii="Times New Roman" w:hAnsi="Times New Roman" w:cs="Times New Roman"/>
          <w:sz w:val="24"/>
          <w:szCs w:val="24"/>
        </w:rPr>
        <w:t xml:space="preserve">A análise da DINFRA se organiza, portanto, em três planos. O primeiro são os componentes, isto é, os elementos físicos e intangíveis já delimitados. O segundo são as relações de controle: as decisões, regras, contratos e licenças que organizam a operação. O terceiro são as capacidades, ou seja, o armazenamento, o processamento e a transmissão efetivamente disponíveis ao usuário, que resultam da combinação dos dois primeiros. A própria literatura técnica reconhece a distância entre o que está instalado e o que pode ser usado. Ao discutir a capacidade computacional para inteligência artificial, a OCDE (2023, p. 30–32) aponta que a falta de profissionais qualificados, de ecossistemas de pesquisa e de marcos regulatórios adequados, assim como custos e barreiras de acesso, pode tornar ineficaz mesmo uma infraestrutura avançada. Essa distinção entre capacidade instalada e capacidade efetivamente utilizável orienta o restante da análise. Para um mesmo serviço e uma mesma organização usuária, o recorte permite observar como mudanças nos componentes e nas condições de acesso alteram as alternativas de utilização.</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2.3 Serviços baseados em dados e dificuldades de mensuração</w:t>
      </w:r>
    </w:p>
    <w:p>
      <w:pPr>
        <w:pStyle w:val="Texto"/>
      </w:pPr>
      <w:r>
        <w:rPr>
          <w:rFonts w:ascii="Times New Roman" w:hAnsi="Times New Roman" w:cs="Times New Roman"/>
          <w:sz w:val="24"/>
          <w:szCs w:val="24"/>
        </w:rPr>
        <w:t xml:space="preserve">Sobre essa infraestrutura organizam-se serviços com formas muito diferentes de prestação e de remuneração. Consideram-se aqui serviços baseados em dados aqueles em que a coleta, o armazenamento, o processamento ou a análise de dados constituem parte central da prestação ou de seu mecanismo de monetização.</w:t>
      </w:r>
    </w:p>
    <w:p>
      <w:pPr>
        <w:pStyle w:val="Texto"/>
      </w:pPr>
      <w:r>
        <w:rPr>
          <w:rFonts w:ascii="Times New Roman" w:hAnsi="Times New Roman" w:cs="Times New Roman"/>
          <w:sz w:val="24"/>
          <w:szCs w:val="24"/>
        </w:rPr>
        <w:t xml:space="preserve">Para fins analíticos, esses serviços podem ser organizados em três grupos. O primeiro comercializa capacidades computacionais, como armazenamento e processamento: vende ou aluga a outras organizações o uso de partes da DINFRA que controla. O segundo oferece produtos informacionais, como acesso a bases e análises. O terceiro reúne serviços cuja monetização depende do uso de dados, como a publicidade segmentada e certas formas de intermediação digital. Os grupos se sobrepõem, porque uma mesma empresa pode combinar atividades e obter receitas de diferentes fontes. Ainda assim, a tipologia evita uma generalização frequente: supor que todos os serviços mantêm a mesma relação com a participação dos usuários ou com a apropriação de seus resultados.</w:t>
      </w:r>
    </w:p>
    <w:p>
      <w:pPr>
        <w:pStyle w:val="Texto"/>
      </w:pPr>
      <w:r>
        <w:rPr>
          <w:rFonts w:ascii="Times New Roman" w:hAnsi="Times New Roman" w:cs="Times New Roman"/>
          <w:sz w:val="24"/>
          <w:szCs w:val="24"/>
        </w:rPr>
        <w:t xml:space="preserve">Essa diversidade obriga a identificar o que é remunerado em cada caso. Mitchell, Ker e Lesher (2021, p. 6–7) mostram que os dados podem sustentar modelos de negócios ou aprimorar produtos e processos existentes, e que seu aproveitamento econômico não pressupõe a venda dos próprios dados. Dantas et al. (2025, cap. I, seção 3) encontram a mesma variedade ao discutir plataformas de publicidade, comércio e distribuição de conteúdo. Quem presta um serviço de armazenamento não explora, só por isso, o conteúdo armazenado; e monetizar perfis de usuários é diferente de comercializar análises de registros produzidos pela própria empresa. É preciso, então, separar três posições: quem participa da geração dos registros, quem os organiza e utiliza e quem remunera o serviço. Elas podem caber a agentes diferentes, como quando o usuário de uma plataforma não é o contratante da publicidade que a financia.</w:t>
      </w:r>
    </w:p>
    <w:p>
      <w:pPr>
        <w:pStyle w:val="Texto"/>
      </w:pPr>
      <w:r>
        <w:rPr>
          <w:rFonts w:ascii="Times New Roman" w:hAnsi="Times New Roman" w:cs="Times New Roman"/>
          <w:sz w:val="24"/>
          <w:szCs w:val="24"/>
        </w:rPr>
        <w:t xml:space="preserve">Separar essas posições leva a uma segunda distinção, entre receita e valor dos dados. A receita resulta de uma atividade que mobiliza diferentes recursos produtivos e, por isso, não permite isolar a contribuição dos dados nem a dos usuários que os geraram. Mitchell, Ker e Lesher (2021, p. 23–24) apresentam três abordagens de avaliação, e cada uma esbarra em um obstáculo próprio. Os preços de mercado são difíceis de comparar diante da heterogeneidade das bases; os custos de produção exigem delimitar os recursos empregados; e os rendimentos futuros dependem de hipóteses sobre usos, preços e duração do aproveitamento. Mesmo quando funcionam, essas abordagens estimam o valor dos dados, mas não dizem como os benefícios deveriam ser distribuídos entre os participantes da atividade. Identificar uma contribuição à geração de valor e reconhecer um direito à participação em seus resultados são questões relacionadas, mas que exigem fundamentos distintos.</w:t>
      </w:r>
    </w:p>
    <w:p>
      <w:pPr>
        <w:pStyle w:val="Texto"/>
      </w:pPr>
      <w:r>
        <w:rPr>
          <w:rFonts w:ascii="Times New Roman" w:hAnsi="Times New Roman" w:cs="Times New Roman"/>
          <w:sz w:val="24"/>
          <w:szCs w:val="24"/>
        </w:rPr>
        <w:t xml:space="preserve">A dificuldade aumenta quando se tenta observar essas atividades a partir de um território. A nota de orientação do </w:t>
      </w:r>
      <w:r>
        <w:rPr>
          <w:rFonts w:ascii="Times New Roman" w:hAnsi="Times New Roman" w:cs="Times New Roman"/>
          <w:i/>
          <w:iCs/>
          <w:sz w:val="24"/>
          <w:szCs w:val="24"/>
        </w:rPr>
        <w:t xml:space="preserve">Digitalization Task Team</w:t>
      </w:r>
      <w:r>
        <w:rPr>
          <w:rFonts w:ascii="Times New Roman" w:hAnsi="Times New Roman" w:cs="Times New Roman"/>
          <w:sz w:val="24"/>
          <w:szCs w:val="24"/>
        </w:rPr>
        <w:t xml:space="preserve"> registra que fornecedores de produtos digitais podem atuar em territórios nos quais não estão constituídos ou registrados, ficando fora do alcance das pesquisas empresariais locais (ISWGNA, 2020, p. 16). Uma operação economicamente relevante para o Brasil pode, assim, escapar aos levantamentos realizados no país. Quando coleta, processamento e prestação se distribuem por diferentes países, o lugar de cada operação deixa de coincidir, necessariamente, com aquele ao qual suas receitas são atribuídas.</w:t>
      </w:r>
    </w:p>
    <w:p>
      <w:pPr>
        <w:pStyle w:val="Texto"/>
      </w:pPr>
      <w:r>
        <w:rPr>
          <w:rFonts w:ascii="Times New Roman" w:hAnsi="Times New Roman" w:cs="Times New Roman"/>
          <w:sz w:val="24"/>
          <w:szCs w:val="24"/>
        </w:rPr>
        <w:t xml:space="preserve">Os critérios de vinculação ao Brasil também não se equivalem, porque cada um responde a uma pergunta diferente. A localização dos usuários e das organizações que contratam os serviços situa a demanda e as condições de acesso; a dos equipamentos identifica a base material; a atribuição de receitas delimita a dimensão econômica da atividade. Para investigar a participação na produção de valor, interessa ainda saber quais registros decorrem das interações dos usuários situados no país e como são incorporados aos serviços.</w:t>
      </w:r>
    </w:p>
    <w:p>
      <w:pPr>
        <w:pStyle w:val="Texto"/>
      </w:pPr>
      <w:r>
        <w:rPr>
          <w:rFonts w:ascii="Times New Roman" w:hAnsi="Times New Roman" w:cs="Times New Roman"/>
          <w:sz w:val="24"/>
          <w:szCs w:val="24"/>
        </w:rPr>
        <w:t xml:space="preserve">Como essas posições operam em escalas distintas, a pesquisa trabalha com dois recortes. O primeiro é o da DINFRA, delimitada pelo arranjo que atende a uma organização usuária, e serve ao exame da dependência computacional, da soberania digital e da destinação de eventuais benefícios. O segundo é o das relações entre os usuários individuais e os serviços que utilizam, e serve ao exame da contribuição na formação dos registros e de seu possível reconhecimento. Os dois recortes se encontram nos serviços cuja monetização depende de dados: os registros produzidos pelos usuários são armazenados e processados na DINFRA, e as receitas obtidas com seu aproveitamento remuneram os agentes que controlam esse arranjo.</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2.4 Dependência computacional e soberania digital</w:t>
      </w:r>
    </w:p>
    <w:p>
      <w:pPr>
        <w:pStyle w:val="Texto"/>
      </w:pPr>
      <w:r>
        <w:rPr>
          <w:rFonts w:ascii="Times New Roman" w:hAnsi="Times New Roman" w:cs="Times New Roman"/>
          <w:sz w:val="24"/>
          <w:szCs w:val="24"/>
        </w:rPr>
        <w:t xml:space="preserve">Saber onde estão os usuários, os equipamentos e as receitas deixa sem resposta uma questão decisiva: quem controla as capacidades necessárias à prestação dos serviços e que alternativas restam a quem os utiliza. Para tratá-la, esta pesquisa define dependência computacional como a situação em que atividades relevantes dependem de capacidades digitais controladas por outros agentes, sem alternativas de substituição suficientes ou economicamente viáveis. A dependência abrange equipamentos, sistemas, licenças e conhecimentos, e pode existir mesmo quando os equipamentos estão instalados no território nacional. A origem estrangeira do fornecedor, isoladamente, não a caracteriza. Uma organização pode contratar um provedor estrangeiro e conservar a capacidade de trocá-lo; outra pode depender de um fornecedor nacional sem ter para onde migrar. O que define a dependência é a dificuldade de reorganizar a atividade diante de decisões de terceiros sobre suas condições de funcionamento.</w:t>
      </w:r>
    </w:p>
    <w:p>
      <w:pPr>
        <w:pStyle w:val="Texto"/>
      </w:pPr>
      <w:r>
        <w:rPr>
          <w:rFonts w:ascii="Times New Roman" w:hAnsi="Times New Roman" w:cs="Times New Roman"/>
          <w:sz w:val="24"/>
          <w:szCs w:val="24"/>
        </w:rPr>
        <w:t xml:space="preserve">A possibilidade de substituição depende tanto das características técnicas das soluções quanto das relações econômicas construídas em torno delas. Sistemas incompatíveis, aplicações que precisam ser adaptadas e competências desenvolvidas para operar determinada arquitetura encarecem a troca de fornecedor. Goldfarb e Tucker (2019, p. 11) destacam, nesse ponto, o caráter estratégico das decisões sobre interoperabilidade e padrões. Os componentes intangíveis da DINFRA tornam a dependência mais persistente: patentes, licenças e interfaces proprietárias restringem a reprodução de soluções equivalentes, e o conhecimento que os profissionais acumulam em uma arquitetura reduz a disposição para abandoná-la. Com o uso, a dependência tende a se aprofundar, à medida que aplicações, rotinas de trabalho e conhecimentos especializados se ajustam às condições oferecidas por determinado provedor.</w:t>
      </w:r>
    </w:p>
    <w:p>
      <w:pPr>
        <w:pStyle w:val="Texto"/>
      </w:pPr>
      <w:r>
        <w:rPr>
          <w:rFonts w:ascii="Times New Roman" w:hAnsi="Times New Roman" w:cs="Times New Roman"/>
          <w:sz w:val="24"/>
          <w:szCs w:val="24"/>
        </w:rPr>
        <w:t xml:space="preserve">Propõe-se chamar esse processo de comodidade computacional. A conveniência de continuar com uma solução já incorporada leva organizações e usuários a ajustar a ela suas aplicações, rotinas e competências, e cada ajuste torna a mudança mais custosa. Ao contrário de uma restrição imposta por contrato, a comodidade computacional se forma de maneira gradual e, em geral, voluntária; a dependência pode crescer sem que nenhuma decisão isolada a tenha escolhido. Tampouco se trata apenas de efeito colateral: Belli et al. (2026b, p. 8) observam que criar hábitos capazes de gerar dependência de uma tecnologia está entre os principais objetivos de boa parte das empresas bem-sucedidas. O aprisionamento tecnológico, caracterizado pelos custos financeiros, operacionais e de requalificação da migração (Belli et al., 2026b, p. 104), é o ponto em que esse processo se consolida.</w:t>
      </w:r>
    </w:p>
    <w:p>
      <w:pPr>
        <w:pStyle w:val="Texto"/>
      </w:pPr>
      <w:r>
        <w:rPr>
          <w:rFonts w:ascii="Times New Roman" w:hAnsi="Times New Roman" w:cs="Times New Roman"/>
          <w:sz w:val="24"/>
          <w:szCs w:val="24"/>
        </w:rPr>
        <w:t xml:space="preserve">O mercado britânico de serviços de nuvem ilustra esses mecanismos. A </w:t>
      </w:r>
      <w:r>
        <w:rPr>
          <w:rFonts w:ascii="Times New Roman" w:hAnsi="Times New Roman" w:cs="Times New Roman"/>
          <w:i/>
          <w:iCs/>
          <w:sz w:val="24"/>
          <w:szCs w:val="24"/>
        </w:rPr>
        <w:t xml:space="preserve">Competition and Markets Authority</w:t>
      </w:r>
      <w:r>
        <w:rPr>
          <w:rFonts w:ascii="Times New Roman" w:hAnsi="Times New Roman" w:cs="Times New Roman"/>
          <w:sz w:val="24"/>
          <w:szCs w:val="24"/>
        </w:rPr>
        <w:t xml:space="preserve"> identificou diferenças entre interfaces, dificuldades de transferir competências e cobranças pela transferência de dados como barreiras à mudança de fornecedor e ao uso combinado de provedores (CMA, 2025, p. 5). Esses resultados indicam onde procurar a dependência em outros contextos, mas não demonstram sua ocorrência ou intensidade no Brasil. Mostram também que ter fornecedores disponíveis não equivale a ter alternativas efetivas. É o que esta pesquisa chama de problema da concentração: outras ofertas no mercado pouco significam quando migrar para elas compromete a continuidade da atividade ou exige custos elevados de adaptação. Nesse caso, a concentração persiste sem depender de monopólio formal, sustentada pela comodidade computacional e pelos componentes intangíveis que dificultam a substituição.</w:t>
      </w:r>
    </w:p>
    <w:p>
      <w:pPr>
        <w:pStyle w:val="Texto"/>
      </w:pPr>
      <w:r>
        <w:rPr>
          <w:rFonts w:ascii="Times New Roman" w:hAnsi="Times New Roman" w:cs="Times New Roman"/>
          <w:sz w:val="24"/>
          <w:szCs w:val="24"/>
        </w:rPr>
        <w:t xml:space="preserve">O peso dessa dependência varia conforme a função atingida e a capacidade de resposta a uma interrupção ou a uma mudança contratual. Daí decorre o problema da continuidade: qualquer atividade ou instituição que dependa de um agente sem alternativa de substituição fica exposta a interrupções, mudanças contratuais ou restrições de acesso decididas por terceiros. Em maio de 2026, o diretor do Departamento de Ciência, Tecnologia e Inovação Digital do MCTI, Hugo Valadares, resumiu essa exposição em tom deliberadamente retórico: “Se quiserem fazer guerra com o Brasil, não é necessário soltar bomba alguma. É só apertar um botão para desligar o Windows aqui e pronto” (Paulo, 2026). A frase exagera, mas aponta uma vulnerabilidade real, que não se limita ao Estado. O problema alcança empresas, universidades e organizações civis, e também trabalhadores e pequenos negócios cuja renda passou a depender de aplicativos e de serviços de mensageria, como se verá no item 4.3. É mais grave, contudo, em serviços públicos e atividades essenciais, nos quais restrições à substituição podem afetar a continuidade da prestação e reduzir a autonomia das instituições responsáveis. Por isso, ampliar equipamentos pode aumentar a oferta de processamento e armazenamento sem dar aos usuários mais capacidade de manter, adaptar ou substituir as soluções que utilizam.</w:t>
      </w:r>
    </w:p>
    <w:p>
      <w:pPr>
        <w:pStyle w:val="Texto"/>
      </w:pPr>
      <w:r>
        <w:rPr>
          <w:rFonts w:ascii="Times New Roman" w:hAnsi="Times New Roman" w:cs="Times New Roman"/>
          <w:sz w:val="24"/>
          <w:szCs w:val="24"/>
        </w:rPr>
        <w:t xml:space="preserve">É nesse ponto que a discussão sobre soberania digital se torna útil, porque desloca a atenção para as capacidades de decisão de Estados, organizações e indivíduos. Pohle e Thiel (2020, p. 8–12) identificam reivindicações ligadas à autonomia estatal, à autonomia econômica e à autodeterminação dos usuários, dimensões que podem entrar em tensão: fortalecer o controle estatal ou o de empresas nacionais não assegura, por si, mais autonomia individual. Nesta pesquisa, essas três dimensões são tratadas como pilares da soberania digital e lidas como defesa nacional, defesa econômica e defesa dos direitos dos usuários. Soberania digital designa, aqui, a capacidade de influenciar e governar as condições técnicas, econômicas e institucionais de utilização das tecnologias, incluída a possibilidade de adaptar ou substituir soluções relevantes, com preservação dos direitos dos usuários.</w:t>
      </w:r>
    </w:p>
    <w:p>
      <w:pPr>
        <w:pStyle w:val="Texto"/>
      </w:pPr>
      <w:r>
        <w:rPr>
          <w:rFonts w:ascii="Times New Roman" w:hAnsi="Times New Roman" w:cs="Times New Roman"/>
          <w:sz w:val="24"/>
          <w:szCs w:val="24"/>
        </w:rPr>
        <w:t xml:space="preserve">Assim definida, a soberania digital se mede por capacidades efetivas, e não por autossuficiência tecnológica. Usar recursos e serviços externos não elimina a autonomia decisória quando há conhecimentos, alternativas e condições institucionais para administrar essas relações; depender de soluções que não se consegue substituir pode reduzi-la. Esse foco nas capacidades aproxima a definição adotada da abordagem de Lastres et al. (2025, cap. XI, seção 5.2), que associam a soberania digital ao fortalecimento de capacidades produtivas e inovativas nacionais e destacam a coordenação estatal e o poder de compra público. Nessa perspectiva, ampliar o consumo de tecnologias e desenvolver condições para produzi-las, adaptá-las e governá-las são processos distintos. A formação de competências e a participação em pesquisa e desenvolvimento importam porque ampliam as escolhas disponíveis e sustentam sua utilização ao longo do tempo. Pela mesma razão, origem nacional e controle nacional não se confundem. O iFood foi criado no Brasil, mas pertence integralmente, desde 2022, ao grupo neerlandês Prosus (Prosus..., 2022); a 99 é controlada desde 2018 pela chinesa DiDi (China’s..., 2018); e o Zé Delivery integra o ecossistema da Ambev, subsidiária brasileira do grupo AB InBev. Essas plataformas mostram a capacidade de desenvolvimento tecnológico existente no país, mas não asseguram, por si, decisão nacional sobre dados, algoritmos e estratégias.</w:t>
      </w:r>
    </w:p>
    <w:p>
      <w:pPr>
        <w:pStyle w:val="Texto"/>
      </w:pPr>
      <w:r>
        <w:rPr>
          <w:rFonts w:ascii="Times New Roman" w:hAnsi="Times New Roman" w:cs="Times New Roman"/>
          <w:sz w:val="24"/>
          <w:szCs w:val="24"/>
        </w:rPr>
        <w:t xml:space="preserve">A tensão entre esses pilares produz o que se pode chamar de paradoxo da soberania digital: reduzir a dependência em relação a poucas empresas pode levar à concentração do controle no Estado, e cada um desses polos sacrifica algum dos pilares. O predomínio de poucas empresas enfraquece a defesa nacional e a defesa dos direitos em favor de um poder econômico privado; o predomínio estatal sem garantias reforça a defesa nacional à custa dos direitos. De um lado, a transformação digital pode tornar setores inteiros dependentes de um número reduzido de provedores, cujas infraestruturas passam a concentrar “funções de organização social que antes eram de responsabilidade direta do poder público” (Belli et al., 2026b, p. 9). De outro, o controle estatal sem garantias pode converter as mesmas capacidades em instrumento de monitoramento da população. Belli et al. (2026b, p. 87-88), ao retomar a distinção proposta por Saura García, contrapõem o “instrumentalismo” associado às grandes empresas norte-americanas, ligado à vigilância comercial e à manipulação de comportamentos, ao “autoritarismo” associado à China, em que o Estado se vale das empresas de tecnologia para monitorar os cidadãos. A Rússia, com a lei da internet soberana de 2019, discutida no item 4.4, ilustra uma variante do mesmo polo, em que o controle estatal alcança a própria infraestrutura de rede. Os mesmos autores advertem que associar a soberania digital inevitavelmente ao autoritarismo seria ignorar os exemplos de “boa soberania digital”, como o Pix (Belli et al., 2026b, p. 13).</w:t>
      </w:r>
    </w:p>
    <w:p>
      <w:pPr>
        <w:pStyle w:val="Texto"/>
      </w:pPr>
      <w:r>
        <w:rPr>
          <w:rFonts w:ascii="Times New Roman" w:hAnsi="Times New Roman" w:cs="Times New Roman"/>
          <w:sz w:val="24"/>
          <w:szCs w:val="24"/>
        </w:rPr>
        <w:t xml:space="preserve">Esta pesquisa propõe resolver o paradoxo articulando os três pilares sob a primazia da defesa dos direitos, isto é, centrando a soberania digital na liberdade, na privacidade, na segurança e na participação democrática dos usuários na governança. Esses elementos já estão positivados no ordenamento brasileiro. A LGPD inclui entre seus fundamentos o respeito à privacidade, a autodeterminação informativa e as liberdades de expressão, de informação, de comunicação e de opinião (Brasil, 2018, art. 2º, I a III). O Marco Civil da Internet traz entre seus princípios a preservação da estabilidade, segurança e funcionalidade da rede e prevê, como diretriz para a atuação do poder público, mecanismos de governança multiparticipativa, transparente, colaborativa e democrática (Brasil, 2014, arts. 3º, V, e 24, I). Nessa chave, uma capacidade nacional só amplia a soberania digital quando também amplia, ou ao menos preserva, essas posições dos usuários. É esse o critério que orienta a avaliação das experiências e dos modelos no capítulo 4.</w:t>
      </w:r>
    </w:p>
    <w:p>
      <w:pPr>
        <w:pStyle w:val="Texto"/>
      </w:pPr>
      <w:r>
        <w:rPr>
          <w:rFonts w:ascii="Times New Roman" w:hAnsi="Times New Roman" w:cs="Times New Roman"/>
          <w:sz w:val="24"/>
          <w:szCs w:val="24"/>
        </w:rPr>
        <w:t xml:space="preserve">O debate legislativo brasileiro já incorpora parte desse vocabulário. O substitutivo ao PLP nº 153/2025 aprovado na Comissão de Ciência, Tecnologia e Inovação da Câmara dos Deputados reúne diretrizes voltadas à infraestrutura digital estratégica, à inclusão digital, ao desenvolvimento regional, à segurança, à resiliência e à autonomia tecnológica. O texto prevê investimentos em conectividade, centros de dados e serviços de nuvem, cooperação entre instituições públicas, pesquisa e empresas, capacitação e infraestrutura compartilhada, além de critérios de interoperabilidade, continuidade dos serviços, proteção de dados, transparência e governança digital e de espaços de articulação com a sociedade civil (Brasil, 2026, arts. 1º e 3º–8º, p. 6–9).</w:t>
      </w:r>
    </w:p>
    <w:p>
      <w:pPr>
        <w:pStyle w:val="Texto"/>
      </w:pPr>
      <w:r>
        <w:rPr>
          <w:rFonts w:ascii="Times New Roman" w:hAnsi="Times New Roman" w:cs="Times New Roman"/>
          <w:sz w:val="24"/>
          <w:szCs w:val="24"/>
        </w:rPr>
        <w:t xml:space="preserve">Dependência computacional e soberania digital fazem parte, assim, do mesmo exame sobre acesso e controle. A primeira identifica o que impede a reorganização das atividades; a segunda oferece critérios para discutir como ampliar a capacidade de decisão sobre as tecnologias utilizadas. A relação importa também para a discussão distributiva, porque eventuais benefícios destinados à expansão da DINFRA precisam ser avaliados pelas mudanças que produzem no acesso, nas competências e nas possibilidades de adaptação e substituição. Essa contribuição, porém, não responde à pergunta que vem antes: sob quais condições a participação na produção de valor poderia fundamentar direitos aos benefícios econômicos. A finalidade de um mecanismo de repartição não se confunde com seu fundamento.</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2.5 Contribuição dos usuários: trabalho, recurso apropriado ou ativo</w:t>
      </w:r>
    </w:p>
    <w:p>
      <w:pPr>
        <w:pStyle w:val="Texto"/>
      </w:pPr>
      <w:r>
        <w:rPr>
          <w:rFonts w:ascii="Times New Roman" w:hAnsi="Times New Roman" w:cs="Times New Roman"/>
          <w:sz w:val="24"/>
          <w:szCs w:val="24"/>
        </w:rPr>
        <w:t xml:space="preserve">A literatura diverge sobre o que os usuários fazem quando geram registros, e cada resposta leva a consequências distintas para a repartição dos benefícios. Arrieta-Ibarra et al. (2018) contrapõem duas concepções. Na dos dados como capital, que se pode chamar de dado-cêntrica, os registros são tratados como subproduto do consumo, apropriado pelas empresas que observam os usuários. Na dos dados como trabalho, usuário-cêntrica, são contribuição dos usuários e deveriam beneficiá-los em primeiro lugar. Os autores associam a primeira concepção à concentração dos ganhos da economia digital e à redução dos incentivos para contribuir. Para sustentar a segunda, propõem tanto pagamentos baseados em medidas do valor marginal das contribuições quanto a organização coletiva dos usuários para negociar com as plataformas, ao lado da concorrência e da regulação.</w:t>
      </w:r>
    </w:p>
    <w:p>
      <w:pPr>
        <w:pStyle w:val="Texto"/>
      </w:pPr>
      <w:r>
        <w:rPr>
          <w:rFonts w:ascii="Times New Roman" w:hAnsi="Times New Roman" w:cs="Times New Roman"/>
          <w:sz w:val="24"/>
          <w:szCs w:val="24"/>
        </w:rPr>
        <w:t xml:space="preserve">Em outra tradição, a palavra trabalho tem sentido diferente. A crítica ao trabalho digital examina a exploração de atividades não remuneradas nas plataformas, e Couldry e Mejias (2018, p. 2–3) situam essa leitura na noção autonomista de fábrica social. Os próprios autores, contudo, recusam essa chave. Para eles, a apropriação de dados não depende de que a vida cotidiana seja organizada como trabalho: a interação social passa a contribuir para a geração de valor por meio de relações de dados, sem constituir um novo tipo de trabalho (Couldry; Mejias, 2018, p. 3, 12). A comparação que propõem é com a apropriação de recursos naturais nos processos de produção capitalista, enquadrada como uma nova fase de colonialismo (Couldry; Mejias, 2018, p. 4). Sadowski (2019) se aproxima dessa leitura ao caracterizar como extração a obtenção de dados sem consentimento significativo ou compensação justa. Segue, porém, caminho próprio ao compreender os dados como forma de capital, cuja acumulação obedece a um imperativo que reorganiza modelos de negócios e tecnologias. A mesma palavra aparece, assim, com sentidos opostos: em Sadowski, capital designa uma relação de acumulação e controle; em Arrieta-Ibarra et al. (2018), a atribuição dos dados às empresas como subproduto do consumo.</w:t>
      </w:r>
    </w:p>
    <w:p>
      <w:pPr>
        <w:pStyle w:val="Texto"/>
      </w:pPr>
      <w:r>
        <w:rPr>
          <w:rFonts w:ascii="Times New Roman" w:hAnsi="Times New Roman" w:cs="Times New Roman"/>
          <w:sz w:val="24"/>
          <w:szCs w:val="24"/>
        </w:rPr>
        <w:t xml:space="preserve">Uma terceira linha desloca a atenção dos usuários para a maneira como as empresas medem e valorizam o que coletam, e examina como dados e usuários se convertem em ativos. Ao analisar como as grandes empresas de tecnologia mensuram e valorizam os dados pessoais, Birch, Cochrane e Ward (2021) observam que elas convertem usuários e engajamento em ativos mensuráveis e que seu poder de mercado decorre mais do controle do acesso aos usuários do que da propriedade dos dados. As palavras escolhidas para descrever esse valor não são neutras. Nolin (2020) mostra que cada metáfora orienta uma conclusão distributiva: a do petróleo sugere que a propriedade dos dados poderia gerar grande riqueza; a da infraestrutura, ao negar valor intrínseco aos dados, atribui os ganhos a quem os processa; e a do ativo serve para convencer as organizações de que detêm dados de grande valor.</w:t>
      </w:r>
    </w:p>
    <w:p>
      <w:pPr>
        <w:pStyle w:val="Texto"/>
      </w:pPr>
      <w:r>
        <w:rPr>
          <w:rFonts w:ascii="Times New Roman" w:hAnsi="Times New Roman" w:cs="Times New Roman"/>
          <w:sz w:val="24"/>
          <w:szCs w:val="24"/>
        </w:rPr>
        <w:t xml:space="preserve">Postas lado a lado, as três leituras divergem quanto ao lugar da contribuição dos usuários. Para a concepção dos dados como trabalho, ela é uma contribuição mensurável, a ser remunerada por pagamentos e por negociação coletiva. Para a leitura da apropriação, o problema não está no trabalho, mas nas relações sociais que tornam a vida cotidiana disponível à extração. Para a leitura dos dados como ativo, o valor se forma sobretudo no controle do acesso aos usuários. A divergência alcança também a mensuração. A proposta de Arrieta-Ibarra et al. (2018) supõe que o valor marginal das contribuições possa ser medido. Farronato (2026) aponta em sentido diverso: o caráter recombinante do aprendizado em sistemas de inteligência artificial dificulta rastrear contribuições marginais. Couldry e Mejias (2018, p. 3), por sua vez, observam que os dados sobre as ações de um indivíduo precisam ser combinados com dados sobre outras ações, momentos e propriedades para gerar relações valiosas. Quando essa interdependência dificulta individualizar as contribuições, pagamentos proporcionais perdem aderência, e passa a ser pertinente examinar formas coletivas de reconhecimento.</w:t>
      </w:r>
    </w:p>
    <w:p>
      <w:pPr>
        <w:pStyle w:val="Subttulonvel2"/>
        <w:keepNext/>
        <w:numPr>
          <w:ilvl w:val="0"/>
          <w:numId w:val="0"/>
        </w:numPr>
        <w:spacing w:before="240" w:after="120" w:line="360" w:lineRule="auto"/>
      </w:pPr>
      <w:r>
        <w:rPr>
          <w:rFonts w:ascii="Times New Roman" w:hAnsi="Times New Roman" w:cs="Times New Roman"/>
          <w:sz w:val="24"/>
          <w:szCs w:val="24"/>
        </w:rPr>
        <w:t xml:space="preserve">2.6 Repartição dos benefícios e hipótese patrimonial coletiva</w:t>
      </w:r>
    </w:p>
    <w:p>
      <w:pPr>
        <w:pStyle w:val="Texto"/>
      </w:pPr>
      <w:r>
        <w:rPr>
          <w:rFonts w:ascii="Times New Roman" w:hAnsi="Times New Roman" w:cs="Times New Roman"/>
          <w:sz w:val="24"/>
          <w:szCs w:val="24"/>
        </w:rPr>
        <w:t xml:space="preserve">Os benefícios da economia dos dados se distribuem conforme as posições que empresas e territórios ocupam nas cadeias que a sustentam. Essas posições vão da extração de recursos minerais para a produção de equipamentos à transmissão de dados por cabos submarinos, e cada uma dá acesso a possibilidades distintas de retorno financeiro. A UNCTAD (2021, p. 29, 42, 82 e 90–92) relaciona a captura de valor ao acesso a dados, ao conhecimento especializado, aos recursos computacionais e às condições institucionais. Os territórios que fornecem recursos, trabalho e dados nem sempre controlam seu aproveitamento econômico. A geografia dessa apropriação é, além disso, mais complexa do que a oposição entre Norte e Sul sugere: Couldry e Mejias (2018, p. 2) identificam nela ao menos dois polos de poder, Estados Unidos e China.</w:t>
      </w:r>
    </w:p>
    <w:p>
      <w:pPr>
        <w:pStyle w:val="Texto"/>
      </w:pPr>
      <w:r>
        <w:rPr>
          <w:rFonts w:ascii="Times New Roman" w:hAnsi="Times New Roman" w:cs="Times New Roman"/>
          <w:sz w:val="24"/>
          <w:szCs w:val="24"/>
        </w:rPr>
        <w:t xml:space="preserve">A participação dos usuários acrescenta a esse quadro uma relação mais próxima, entre contribuição social e apropriação econômica. Propostas de dividendos de dados e de representação coletiva procuram aproximar retorno financeiro e participação na governança (Feygin et al., 2021, p. 17–20). A relevância econômica dessa contribuição pode sustentar uma reivindicação distributiva, mas não cria, por si só, um direito. Para que exista um direito, é preciso justificar o critério de participação e definir quem poderia reivindicá-lo, perante quem e com qual conteúdo.</w:t>
      </w:r>
    </w:p>
    <w:p>
      <w:pPr>
        <w:pStyle w:val="Texto"/>
      </w:pPr>
      <w:r>
        <w:rPr>
          <w:rFonts w:ascii="Times New Roman" w:hAnsi="Times New Roman" w:cs="Times New Roman"/>
          <w:sz w:val="24"/>
          <w:szCs w:val="24"/>
        </w:rPr>
        <w:t xml:space="preserve">A LGPD nomeia com precisão as posições envolvidas no tratamento: o titular é a pessoa natural a quem os dados se referem; o controlador decide sobre seu tratamento; e o operador realiza o tratamento em nome do controlador (Brasil, 2018, art. 5º, V–VII). Essas categorias organizam responsabilidades e direitos relativos ao tratamento. Não identificam, porém, todas as contribuições à formação das bases, nem atribuem aos titulares direitos sobre os resultados econômicos da atividade. Ser titular dos dados, nesse sentido, é diferente de ser titular de uma parcela de suas receitas.</w:t>
      </w:r>
    </w:p>
    <w:p>
      <w:pPr>
        <w:pStyle w:val="Texto"/>
      </w:pPr>
      <w:r>
        <w:rPr>
          <w:rFonts w:ascii="Times New Roman" w:hAnsi="Times New Roman" w:cs="Times New Roman"/>
          <w:sz w:val="24"/>
          <w:szCs w:val="24"/>
        </w:rPr>
        <w:t xml:space="preserve">Parte do debate sobre repartição tomou forma a partir da comparação entre dados e petróleo. Vianna (2021, p. 130–131) observa que a LGPD não assegura retorno pecuniário aos usuários e sustenta que os dados extraídos de seus comportamentos pertencem a eles próprios. Com base nessa premissa, propõe levar para os dados a lógica pela qual União, estados e municípios participam dos resultados da exploração do petróleo (Vianna, 2021, p. 136). A analogia, contudo, tem limites. Farronato (2026) lembra que, diferentemente do petróleo, os dados não são rivais, podem ser reproduzidos e são criados no próprio uso dos serviços, e que os dados comportamentais, coproduzidos e sensíveis ao tempo, são difíceis de precificar.</w:t>
      </w:r>
    </w:p>
    <w:p>
      <w:pPr>
        <w:pStyle w:val="Texto"/>
      </w:pPr>
      <w:r>
        <w:rPr>
          <w:rFonts w:ascii="Times New Roman" w:hAnsi="Times New Roman" w:cs="Times New Roman"/>
          <w:sz w:val="24"/>
          <w:szCs w:val="24"/>
        </w:rPr>
        <w:t xml:space="preserve">Os royalties petrolíferos e a Compensação Financeira pela Exploração de Recursos Minerais (CFEM) ajudam a mostrar o que a analogia deixa de fora. Nesses regimes, a titularidade da União sobre os recursos se articula à previsão constitucional de participação nos resultados ou de compensação pela exploração, e a legislação disciplina os sujeitos responsáveis e a distribuição das receitas (Brasil, 1988, art. 20, IX e § 1º; Brasil, 1990a, arts. 2º e 2º-A; Brasil, 1997, arts. 45 e 47–49). A compensação existe porque o bem explorado é público. Na economia dos dados, essa titularidade não está estabelecida, e a contribuição dos usuários não equivale a ela. A analogia serve para formular perguntas sobre o recurso ou a relação que justificaria o retorno financeiro, mas não oferece o fundamento da obrigação. São esse fundamento e a estrutura da obrigação que definem se ela é tributária ou não tributária. O Código Tributário Nacional considera tributo toda prestação pecuniária compulsória, instituída em lei, que não constitua sanção de ato ilícito (Brasil, 1966, art. 3º), e declara irrelevantes, para qualificar a espécie tributária, a denominação e a destinação do produto da arrecadação (Brasil, 1966, art. 4º).</w:t>
      </w:r>
    </w:p>
    <w:p>
      <w:pPr>
        <w:pStyle w:val="Texto"/>
      </w:pPr>
      <w:r>
        <w:rPr>
          <w:rFonts w:ascii="Times New Roman" w:hAnsi="Times New Roman" w:cs="Times New Roman"/>
          <w:sz w:val="24"/>
          <w:szCs w:val="24"/>
        </w:rPr>
        <w:t xml:space="preserve">O direito brasileiro conhece, porém, outra forma de compensação, que dispensa a titularidade estatal. A Constituição define o meio ambiente ecologicamente equilibrado como bem de uso comum do povo e atribui ao poder público e à coletividade o dever de defendê-lo (Brasil, 1988, art. 225). Esse bem não pertence ao Estado nem aos particulares que o utilizam. A Política Nacional do Meio Ambiente distingue duas obrigações: a do poluidor e do predador, de recuperar ou indenizar os danos causados, e a do usuário, de contribuir pela utilização de recursos ambientais com fins econômicos (Brasil, 1981, art. 4º, VII). O Supremo Tribunal Federal validou a compensação exigida de empreendimentos de significativo impacto ambiental (Brasil, 2000c, art. 36) como densificação do princípio do usuário-pagador, entendido como assunção partilhada da responsabilidade social pelos custos ambientais da atividade econômica (Brasil, 2008). Nesse modelo, quem paga não indeniza um dano ilícito nem remunera um proprietário: compensa o uso de um bem de titularidade difusa. A comparação se aproxima mais da situação dos recursos informacionais do que a do petróleo, porque também eles se formam pela contribuição dispersa de muitos e não pertencem ao Estado.</w:t>
      </w:r>
    </w:p>
    <w:p>
      <w:pPr>
        <w:pStyle w:val="Texto"/>
      </w:pPr>
      <w:r>
        <w:rPr>
          <w:rFonts w:ascii="Times New Roman" w:hAnsi="Times New Roman" w:cs="Times New Roman"/>
          <w:sz w:val="24"/>
          <w:szCs w:val="24"/>
        </w:rPr>
        <w:t xml:space="preserve">A semelhança, contudo, é estrutural, e não material. A compensação validada pelo Supremo responde a custos: o empreendimento degrada um recurso que a coletividade perde, no todo ou em parte. Os dados não se comportam assim. São não rivais, como se viu no item 2.1, e armazená-los não reduz o que resta aos demais. O paralelo só se sustenta, portanto, se for possível dizer que custo a retenção de registros impõe à coletividade, já que não há consumo do recurso. A literatura sobre bens comuns do conhecimento oferece a chave. Hess e Ostrom (2007, p. 5 e 13) admitem que o conhecimento é relativamente não subtrativo, mas definem o bem comum como recurso compartilhado sujeito a dilemas sociais e apontam como ameaça típica o cercamento, e não o esgotamento; a capacidade tecnológica de capturar o que antes era incapturável converte um bem público livre em recurso que precisa ser governado (Hess; Ostrom, 2007, p. 10). Dois custos podem então ser identificados, de natureza diferente. O primeiro é o cercamento: o recurso não se esgota, mas a coletividade que o gera é excluída dos benefícios e da governança do valor que resulta da combinação dos registros, exclusão que Prainsack (2019) trata como critério decisivo para avaliar arranjos de bens comuns de dados. A não rivalidade, aqui, agrava o problema em vez de dissolvê-lo. Jones e Tonetti (2020) mostram que, justamente por serem não rivais, os dados teriam ganhos sociais com uso amplo, e que sua retenção pelas empresas é ineficiente. A renda resultante decorre do controle exclusivo, e não da escassez, e se aproxima do que Mazzucato, Entsminger e Kattel (2020) chamam de rendas de monopólio de rede e rendas algorítmicas. O segundo custo reúne os riscos e as assimetrias que a retenção cria para titulares e terceiros, examinados no item 2.7: a exposição a incidentes de segurança, que a LGPD procura conter com deveres de segurança e de comunicação (Brasil, 2018, arts. 46 e 48), as inferências sobre pessoas que não forneceram dados (Acemoglu et al., 2022) e o poder de mercado conferido por bases impossíveis de replicar (Belli et al., 2026b, p. 75). Só o segundo se parece diretamente com o custo ambiental. O primeiro substitui a escassez, critério clássico dos royalties minerais, pela renda de exclusão e encontra apoio na parte do princípio do usuário-pagador que cobra pela utilização com fins econômicos, independentemente de dano, embora os recursos ambientais a que a lei se refere sejam bens que se esgotam ou se degradam (Brasil, 1981, art. 3º, V). Esse é o ponto mais exigente da analogia, e os itens 4.1 e 4.5 voltam a ele.</w:t>
      </w:r>
    </w:p>
    <w:p>
      <w:pPr>
        <w:pStyle w:val="Texto"/>
      </w:pPr>
      <w:r>
        <w:rPr>
          <w:rFonts w:ascii="Times New Roman" w:hAnsi="Times New Roman" w:cs="Times New Roman"/>
          <w:sz w:val="24"/>
          <w:szCs w:val="24"/>
        </w:rPr>
        <w:t xml:space="preserve">Ao lado do petróleo, outro mercado oferece comparação útil, não pela natureza do bem, mas pelo tempo da regulação. As apostas de quota fixa foram autorizadas por lei em 2018, mas só receberam disciplina abrangente com a Lei nº 14.790/2023 (Brasil, 2023b), quando o setor já tinha escala nacional. Em 2024, as transferências mensais de pessoas físicas para empresas de apostas variaram entre R$ 18 bilhões e R$ 21 bilhões, e cerca de 5 milhões de pessoas de famílias beneficiárias do Bolsa Família enviaram aproximadamente R$ 3 bilhões a essas empresas apenas em agosto (Banco Central do Brasil, 2024). A atenção pública e regulatória cresceu quando o endividamento e a dependência já estavam visíveis. A comparação não supõe que dados e apostas produzam danos do mesmo tipo. Indica, antes, que a regulação reativa costuma chegar depois que os custos sociais se consolidaram. Os royalties dos dados podem ser lidos como tentativa de antecipação: a concentração do valor agregado e dos riscos da retenção em poucos controladores já se desenha com clareza, e o direito ainda pode organizá-la antes que se torne irreversível.</w:t>
      </w:r>
    </w:p>
    <w:p>
      <w:pPr>
        <w:pStyle w:val="Texto"/>
      </w:pPr>
      <w:r>
        <w:rPr>
          <w:rFonts w:ascii="Times New Roman" w:hAnsi="Times New Roman" w:cs="Times New Roman"/>
          <w:sz w:val="24"/>
          <w:szCs w:val="24"/>
        </w:rPr>
        <w:t xml:space="preserve">Os trabalhos examinados deixam, assim, as três lacunas indicadas na introdução. A jurídica está em que as propostas de royalties ou dividendos dos dados pouco examinam o fundamento e a natureza da obrigação no ordenamento brasileiro. A conceitual, na pouca articulação entre as leituras da contribuição dos usuários e as categorias da proteção de dados e dos direitos coletivos. A institucional, em uma soberania digital afirmada como finalidade sem exame das capacidades a desenvolver nem da infraestrutura sobre a qual se atuaria.</w:t>
      </w:r>
    </w:p>
    <w:p>
      <w:pPr>
        <w:pStyle w:val="Texto"/>
      </w:pPr>
      <w:r>
        <w:rPr>
          <w:rFonts w:ascii="Times New Roman" w:hAnsi="Times New Roman" w:cs="Times New Roman"/>
          <w:sz w:val="24"/>
          <w:szCs w:val="24"/>
        </w:rPr>
        <w:t xml:space="preserve">É nesse espaço que se situa a hipótese patrimonial coletiva. A interdependência das contribuições à formação de recursos informacionais poderia justificar direitos de participação nos benefícios, exercidos coletivamente e preservadas as posições individuais asseguradas pela proteção de dados. O fundamento proposto está no vínculo entre essas contribuições e a apropriação dos resultados; a necessidade de financiar políticas públicas, isoladamente, não o oferece. A hipótese parte da leitura da apropriação discutida no item 2.5. Uma parcela crescente da vida cotidiana, como buscas, deslocamentos, interações, curiosidades e preferências políticas, é registrada e processada por algoritmos, e os dados passam a se originar, nas palavras de Vianna (2021, p. 124), “da exploração de comportamentos, escolhas e ações pessoais”. Zuboff (2020, p. 7) descreve essa ordem como a que reivindica a experiência humana como matéria-prima gratuita, e Sadowski (2019) caracteriza a acumulação como extração, porque os dados são tomados sem consentimento significativo nem compensação justa. A sociedade passa a depender das plataformas para estudar, trabalhar, vender e se relacionar. Recebe em troca os serviços, mas não participa da governança das bases formadas por essa dependência nem dos resultados de sua agregação.</w:t>
      </w:r>
    </w:p>
    <w:p>
      <w:pPr>
        <w:pStyle w:val="Texto"/>
      </w:pPr>
      <w:r>
        <w:rPr>
          <w:rFonts w:ascii="Times New Roman" w:hAnsi="Times New Roman" w:cs="Times New Roman"/>
          <w:sz w:val="24"/>
          <w:szCs w:val="24"/>
        </w:rPr>
        <w:t xml:space="preserve">A hipótese atribui aos royalties a função de compensar esse custo social, nos dois componentes identificados acima. Para isso, sustenta que os recursos informacionais formados pela agregação dessas contribuições constituem um patrimônio coletivo de uso comum, à semelhança do meio ambiente: não pertencem ao Estado, que apenas os administraria em favor da coletividade, nem se confundem com os dados pessoais de cada titular, que permanecem sob a proteção individual da LGPD. O valor coletivo nasce da agregação e da exploração dos registros, mas ambas pressupõem que eles sejam retidos. Por isso, a hipótese toma o armazenamento como marco do uso desse patrimônio. Processar os registros é escolha do controlador; mantê-los armazenados é a condição de qualquer aproveitamento posterior e o momento em que surgem os riscos para titulares e terceiros. O armazenamento funciona, assim, como indicador verificável do aproveitamento, e não como sua medida, e é o tipo de uso, discutido no item 4.5, que gradua o valor devido. A hipótese alcança todo agente econômico que colete e armazene dados de usuários situados no Brasil, e não apenas os que monetizam suas interações.</w:t>
      </w:r>
    </w:p>
    <w:p>
      <w:pPr>
        <w:pStyle w:val="Texto"/>
      </w:pPr>
      <w:r>
        <w:rPr>
          <w:rFonts w:ascii="Times New Roman" w:hAnsi="Times New Roman" w:cs="Times New Roman"/>
          <w:sz w:val="24"/>
          <w:szCs w:val="24"/>
        </w:rPr>
        <w:t xml:space="preserve">A formulação apoia-se em um argumento central, de atribuição, desenvolvido em três passos, e em dois argumentos auxiliares, que não têm o mesmo peso. O primeiro passo estabelece que o valor dos dados comportamentais agregados é relacional e populacional. A produção de dados na economia digital serve para inserir as pessoas em relações de população umas com as outras, e direitos individuais dos titulares não conseguem representar esses efeitos (Viljoen, 2021, p. 579); a motivação econômica de nível populacional importa conceitualmente para os regimes jurídicos que regulam a coleta e o uso (Viljoen, 2021, p. 609). Os dados de um consumidor predizem o comportamento de outros (Bergemann; Bonatti; Gan, 2022), e o valor da extração depende da abrangência dos dados gerados (Couldry; Mejias, 2018, p. 13). Shkabatur (2019, p. 381) compara cada clique a uma gota de chuva que enche um reservatório formado por bilhões de usuários, e Singh e Gurumurthy (2021) sustentam que o maior valor dos dados está em sua forma coletiva. O valor nasce coletivo; não é soma de contribuições individuais que se possa repartir por cabeça. Grandes plataformas devem sua posição à capacidade de treinar modelos com bases impossíveis de replicar (Belli et al., 2026b, p. 75), e esse valor não pertence a nenhum usuário isoladamente, porque a contribuição individual é pequena diante do benefício da agregação e os dados de cada um revelam informações sobre outros (Belli et al., 2026a, p. 27).</w:t>
      </w:r>
    </w:p>
    <w:p>
      <w:pPr>
        <w:pStyle w:val="Texto"/>
      </w:pPr>
      <w:r>
        <w:rPr>
          <w:rFonts w:ascii="Times New Roman" w:hAnsi="Times New Roman" w:cs="Times New Roman"/>
          <w:sz w:val="24"/>
          <w:szCs w:val="24"/>
        </w:rPr>
        <w:t xml:space="preserve">O segundo passo mostra que o direito não atribui esse valor a ninguém e, ao mesmo tempo, habilita sua captura. Cohen (2018, p. 213) descreve o tratamento contemporâneo de informações pessoais como um domínio público biopolítico, repositório de matérias-primas disponíveis para apropriação e enquadradas como insumo bruto da produção econômica. Kapczynski (2020, p. 1466) extrai a consequência: o direito habilitou regimes de propriedade de fato sobre dados e algoritmos, embora nenhum deles seja formalmente propriedade, e, por resultar de escolhas jurídicas, o arranjo pode ser redesenhado democraticamente. No Brasil, a LGPD disciplina o tratamento e a transferência sem atribuir o valor agregado, e o consentimento individual, como observam Mendes e Fonseca (2020, p. 515), torna-se incapaz de corresponder à vontade real do titular. Tampouco pertence esse valor inteiramente às empresas: a separação entre os dados e a DINFRA, feita no item 2.2, permite remunerar o processamento sem atribuir a quem processa também o valor da base agregada. Resta um valor coletivo sem titular definido. A formulação precisa não é, portanto, a de uma apropriação por simples omissão do direito, e sim a de uma apropriação de fato, juridicamente habilitada pela ausência de regra de atribuição do valor agregado. Desde que a proteção de dados pessoais se tornou direito fundamental (Brasil, 1988, art. 5º, LXXIX), os dados não são livres quanto à proteção, mas o valor econômico de sua agregação continua sem titular. A hipótese não cria uma apropriação nova; propõe atribuir de forma explícita um valor que já é apropriado de forma implícita.</w:t>
      </w:r>
    </w:p>
    <w:p>
      <w:pPr>
        <w:pStyle w:val="Texto"/>
      </w:pPr>
      <w:r>
        <w:rPr>
          <w:rFonts w:ascii="Times New Roman" w:hAnsi="Times New Roman" w:cs="Times New Roman"/>
          <w:sz w:val="24"/>
          <w:szCs w:val="24"/>
        </w:rPr>
        <w:t xml:space="preserve">O terceiro passo qualifica juridicamente o recurso. Para Hess e Ostrom (2007, p. 10), um recurso compartilhado sujeito a captura tecnológica deixa de ser bem público livre e passa a exigir governança, e os direitos sobre o fluxo de unidades de um recurso podem estar com atores distintos dos que detêm direitos sobre o sistema que o produz (Hess; Ostrom, 2003, p. 126). A infraestrutura de coleta pode, assim, permanecer com as empresas, enquanto a coletividade recebe direitos de participação nos frutos e na governança. A Comissão Rodotà, ao definir os bens comuns pela função ligada a direitos fundamentais e pela fruição coletiva garantida, admitiu titulares públicos ou privados (Itália, 2008, art. 1, c. 3, lett. c), e o direito brasileiro já conhece bem afetado ao “uso coletivo” (Brasil, 1981, art. 2º, I) que a doutrina lê como nem público nem particular, fora da disponibilidade de pessoa privada ou pública (Fiorillo; Ferreira, 2012, p. 137). Bens comuns funcionam, nessa leitura, como instrumentos de satisfação direta de direitos fundamentais (Guimarães, 2024, p. 185). Quanto à pergunta sobre quem seria o titular quando não é o Estado, a resposta mais defensável está no microssistema brasileiro de tutela coletiva: a proteção de dados no país nasceu de uma trajetória de afirmação de direitos difusos (Zanatta, 2023, p. 35), e o ordenamento já reconhece interesses difusos e coletivos e sua defesa em juízo (Brasil, 1990b, art. 81; Brasil, 2018, art. 22). Não há expropriação nem estatização, e sim a separação entre o regime de fruição e a titularidade dominial.</w:t>
      </w:r>
    </w:p>
    <w:p>
      <w:pPr>
        <w:pStyle w:val="Texto"/>
      </w:pPr>
      <w:r>
        <w:rPr>
          <w:rFonts w:ascii="Times New Roman" w:hAnsi="Times New Roman" w:cs="Times New Roman"/>
          <w:sz w:val="24"/>
          <w:szCs w:val="24"/>
        </w:rPr>
        <w:t xml:space="preserve">Os outros dois argumentos não sustentam o patrimônio coletivo por si; removem obstáculos a ele. O econômico mostra que o mercado não resolve a questão. Quando os dados de um usuário revelam informações sobre outros, o preço dos dados é deprimido e o compartilhamento tende a ser excessivo (Acemoglu et al., 2022; Bergemann; Bonatti; Gan, 2022), de modo que nenhuma solução de mercado reflete seu valor social (Belli et al., 2026a, p. 27). O argumento justifica, no máximo, uma regulação corretiva dessa externalidade, e serve à hipótese apenas por afastar as soluções individuais de mercado, como a venda de dados pelos próprios titulares. O constitucional mostra que o ordenamento brasileiro já reconhece patrimônios que não pertencem ao Estado, como se examina no item 4.1. Estabelece que a categoria é compatível com a Constituição, mas não que os recursos informacionais pertençam a ela. O peso da hipótese recai, portanto, sobre o argumento de atribuição.</w:t>
      </w:r>
    </w:p>
    <w:p>
      <w:pPr>
        <w:pStyle w:val="Texto"/>
      </w:pPr>
      <w:r>
        <w:rPr>
          <w:rFonts w:ascii="Times New Roman" w:hAnsi="Times New Roman" w:cs="Times New Roman"/>
          <w:sz w:val="24"/>
          <w:szCs w:val="24"/>
        </w:rPr>
        <w:t xml:space="preserve">A ponte entre esse diagnóstico e a compensação é contribuição desta pesquisa, e não das fontes que o sustentam. A literatura é ampla e convergente quanto ao valor coletivo, à apropriação habilitada pelo direito e aos custos sociais da retenção, mas quase nenhum trabalho propõe compensação a um titular coletivo não estatal. Três objeções decorrem dessa assimetria e orientam o desenho. Viljoen (2021) critica as propostas que procuram maximizar o ganho financeiro dos titulares; a hipótese responde que a compensação não se destina ao indivíduo, e sim a um fundo coletivo submetido a governança democrática, compatível com a leitura dos dados como recurso coletivo sujeito a ordenação democrática (Viljoen, 2021, p. 638). Zuboff (2021) e Sadowski (2019) preferem limitar ou interromper a coleta a remunerá-la, porque pagar pela extração poderia legitimá-la; a hipótese aceita a advertência, e por isso a compensação incide apenas sobre o que a lei já permite e não substitui limites de coleta, retenção e transferência, como se verá no item 4.5. Ben-Shahar (2019) trata os dados como poluição que degrada interesses públicos; aqui, os custos da retenção justificam a legitimidade e a destinação da compensação, mas não a convertem em preço pelo dano.</w:t>
      </w:r>
    </w:p>
    <w:p>
      <w:pPr>
        <w:pStyle w:val="Texto"/>
      </w:pPr>
      <w:r>
        <w:rPr>
          <w:rFonts w:ascii="Times New Roman" w:hAnsi="Times New Roman" w:cs="Times New Roman"/>
          <w:sz w:val="24"/>
          <w:szCs w:val="24"/>
        </w:rPr>
        <w:t xml:space="preserve">Para que a hipótese possa ser recusada, e não apenas condicionada, é preciso dizer o que a refutaria. Ela perde o fundamento se o valor apropriado pelos controladores puder ser explicado pelo processamento e pelos investimentos das empresas, e não pela base agregada, o que se verificaria, por exemplo, se bases equivalentes pudessem ser formadas por concorrentes a custo comparável. Perde seu componente compensatório se os custos impostos pela retenção forem desprezíveis. E perde a forma não tributária se o ordenamento não reconhecer o patrimônio coletivo, caso em que a cobrança seria tributo, e não compensação. As duas primeiras condições são empíricas e podem ser testadas com os dados divulgados na transição proposta no item 4.5; a terceira é normativa. O capítulo 4 submete a hipótese às objeções da literatura, aos instrumentos existentes e às experiências internacionais, admitindo sua confirmação parcial, sua reformulação ou sua rejeição.</w:t>
      </w:r>
    </w:p>
    <w:p>
      <w:pPr>
        <w:pStyle w:val="Subttulonvel2"/>
        <w:keepNext/>
        <w:numPr>
          <w:ilvl w:val="0"/>
          <w:numId w:val="0"/>
        </w:numPr>
        <w:spacing w:before="240" w:after="120" w:line="360" w:lineRule="auto"/>
      </w:pPr>
      <w:r>
        <w:rPr>
          <w:rFonts w:ascii="Times New Roman" w:hAnsi="Times New Roman" w:cs="Times New Roman"/>
          <w:sz w:val="24"/>
          <w:szCs w:val="24"/>
        </w:rPr>
        <w:t xml:space="preserve">2.7 Risco sistêmico dos dados comportamentais</w:t>
      </w:r>
    </w:p>
    <w:p>
      <w:pPr>
        <w:pStyle w:val="Texto"/>
      </w:pPr>
      <w:r>
        <w:rPr>
          <w:rFonts w:ascii="Times New Roman" w:hAnsi="Times New Roman" w:cs="Times New Roman"/>
          <w:sz w:val="24"/>
          <w:szCs w:val="24"/>
        </w:rPr>
        <w:t xml:space="preserve">A gravidade da questão não está apenas no valor apropriado, mas na escala e na natureza do que se acumula. Em 2025, o Brasil tinha 157 milhões de usuários de internet com 10 anos ou mais (NIC.br, 2025); levantamento internacional registrou 150 milhões de identidades de usuários de redes sociais no país e um tempo médio de conexão superior a nove horas diárias, entre os maiores do mundo (Kepios; We Are Social; Meltwater, 2026). Grande parte desse tempo gera registros de comportamento: localização, buscas, compras, deslocamentos, reações e preferências políticas. A coleta concentra-se em poucas plataformas, e mais de 70% da população conectada acessa a internet principalmente por um conjunto reduzido de aplicativos patrocinados (Belli et al., 2026b, p. 74). Esses registros não permanecem onde foram gerados. São armazenados, processados, transferidos ao exterior e combinados com outras bases, e cada etapa multiplica tanto o valor extraível quanto os riscos.</w:t>
      </w:r>
    </w:p>
    <w:p>
      <w:pPr>
        <w:pStyle w:val="Texto"/>
      </w:pPr>
      <w:r>
        <w:rPr>
          <w:rFonts w:ascii="Times New Roman" w:hAnsi="Times New Roman" w:cs="Times New Roman"/>
          <w:sz w:val="24"/>
          <w:szCs w:val="24"/>
        </w:rPr>
        <w:t xml:space="preserve">O regime jurídico dessa circulação é bilateral e de conformidade. A LGPD admite a transferência internacional para países com proteção adequada, mediante cláusulas-padrão contratuais ou com consentimento específico e em destaque do titular, entre outras hipóteses (Brasil, 2018, art. 33), e atribui à autoridade nacional a definição do conteúdo das cláusulas-padrão (Brasil, 2018, art. 35), aprovadas em 2024 (Autoridade Nacional de Proteção de Dados, 2024). Nenhum desses dispositivos trata da dimensão coletiva da exportação agregada de registros, nem condiciona a transferência a qualquer contrapartida para os titulares ou para o país. A extensão do fenômeno não é medida por nenhuma estatística oficial, o que já é, em si, parte do problema. O que se sabe basta para indicar o risco. A legislação dos Estados Unidos permite requisitar dados mantidos por empresas do país, onde quer que estejam os servidores (Belli et al., 2026b, p. 108-109), e Estados que controlam nós centrais de redes informacionais podem convertê-los em instrumentos de vigilância e de pressão (Farrell; Newman, 2019). O cruzamento de bases agrava o quadro. Ben-Shahar (2019) mostra que um banco de dados é superaditivo: combinado a outros, revela o que nenhum revelaria isoladamente, como no mapa de calor de um aplicativo de exercícios que expôs a localização de bases militares. E as inferências produzidas alcançam pessoas que nunca forneceram dados (Acemoglu et al., 2022).</w:t>
      </w:r>
    </w:p>
    <w:p>
      <w:pPr>
        <w:pStyle w:val="Texto"/>
      </w:pPr>
      <w:r>
        <w:rPr>
          <w:rFonts w:ascii="Times New Roman" w:hAnsi="Times New Roman" w:cs="Times New Roman"/>
          <w:sz w:val="24"/>
          <w:szCs w:val="24"/>
        </w:rPr>
        <w:t xml:space="preserve">Zuboff e Han descrevem o que esse acúmulo permite. Para Zuboff (2020, p. 19), os meios de produção passam a subordinar-se a meios de modificação comportamental: o excedente comportamental, isto é, os dados usados além do necessário para melhorar o serviço, alimenta previsões vendidas a terceiros e intervenções que orientam condutas, e o resultado político é descrito pela autora como “um golpe vindo de cima” contra a soberania popular (Zuboff, 2020, p. 576). Em texto posterior, ela fala em um golpe epistêmico e conclui que uma sociedade pode ter democracia ou sociedade de vigilância, mas não ambas (Zuboff, 2021). Han desloca a análise para o efeito sobre os indivíduos. No regime de informação, as pessoas não se sentem vigiadas, mas livres (Han, 2022, p. 7); a dominação dispensa a coação disciplinar e explora a própria liberdade (Han, 2022, p. 13), e a democracia degenera em infocracia (Han, 2022, p. 25). A tese reforça a crítica ao consentimento como base de atribuição: quem se sente livre ao produzir registros dificilmente percebe o que cede. Han escreve como ensaísta, e sua contribuição é conceitual; a base empírica do risco precisa vir de outras fontes.</w:t>
      </w:r>
    </w:p>
    <w:p>
      <w:pPr>
        <w:pStyle w:val="Texto"/>
      </w:pPr>
      <w:r>
        <w:rPr>
          <w:rFonts w:ascii="Times New Roman" w:hAnsi="Times New Roman" w:cs="Times New Roman"/>
          <w:sz w:val="24"/>
          <w:szCs w:val="24"/>
        </w:rPr>
        <w:t xml:space="preserve">A literatura jurídica e econômica oferece essa base ao tratar a retenção como custo social. Schneier (2009) chamou os dados de poluição da era da informação, subproduto de toda interação mediada por computador que permanece até ser descartado, e depois de ativo tóxico, cuja guarda é perigosa (Schneier, 2016). Hirsch (2014, p. 378) volta a metáfora do petróleo contra a própria indústria: se os dados são o novo petróleo, os vazamentos são os novos derramamentos de óleo, e o direito da poluição oferece modelos de responsabilização (Hirsch, 2014, p. 384-385). Fairfield e Engel (2015, p. 386-387 e 410) mostram que a privacidade não pertence apenas a cada um, porque o usuário que consente se torna canal de coleta de informações sobre toda a sua rede social, e a economia confirma que essa externalidade deprime o preço dos dados e produz compartilhamento excessivo (Acemoglu et al., 2022). Froomkin (2015, p. 1729-1730) descreve a vigilância em massa como custo externo, numa tragédia em que todos retiram do estoque comum de privacidade. Solove e Citron (2018) lembram que o direito ambiental passou a tratar o risco como indicador da lesão, sem exigir a prova do dano consumado. É essa a lógica que a hipótese adota: o estoque armazenado é passivo, e o risco que impõe a titulares, terceiros e instituições é custo social, ainda que nenhum dano individual tenha sido provado.</w:t>
      </w:r>
    </w:p>
    <w:p>
      <w:pPr>
        <w:pStyle w:val="Texto"/>
      </w:pPr>
      <w:r>
        <w:rPr>
          <w:rFonts w:ascii="Times New Roman" w:hAnsi="Times New Roman" w:cs="Times New Roman"/>
          <w:sz w:val="24"/>
          <w:szCs w:val="24"/>
        </w:rPr>
        <w:t xml:space="preserve">O custo mais grave recai sobre bens públicos, e a integridade dos processos democráticos é o principal deles. Ben-Shahar (2019) usa o caso Cambridge Analytica para mostrar como emissões de dados degradam interesses públicos. No Brasil, os fatos documentados são estes: o próprio Facebook estimou que dados de até 87 milhões de pessoas no mundo, 443.117 delas no Brasil, podem ter sido compartilhados com a consultoria, e a Secretaria Nacional do Consumidor multou a empresa em R$ 6,6 milhões em dezembro de 2019, com base no Código de Defesa do Consumidor (Facebook..., 2019), decisão anulada e reaplicada em agosto de 2022 (Governo..., 2022). A empresa nega que dados de brasileiros tenham chegado à consultoria, e a multa não prova uso eleitoral no país. Sobre as eleições de 2018, Evangelista e Bruno (2019) atribuem parte da radicalização ao microdirecionamento político num ecossistema midiático concentrado e à gratuidade de dados móveis restrita a certos aplicativos, que impulsionou o WhatsApp. O Tribunal Superior Eleitoral, em outubro de 2021, rejeitou a cassação da chapa vencedora por falta de prova da gravidade, mas fixou a tese de que disparos em massa com desinformação podem configurar abuso de poder econômico (Brasil, 2021).</w:t>
      </w:r>
    </w:p>
    <w:p>
      <w:pPr>
        <w:pStyle w:val="Texto"/>
      </w:pPr>
      <w:r>
        <w:rPr>
          <w:rFonts w:ascii="Times New Roman" w:hAnsi="Times New Roman" w:cs="Times New Roman"/>
          <w:sz w:val="24"/>
          <w:szCs w:val="24"/>
        </w:rPr>
        <w:t xml:space="preserve">Os ataques de 6 de janeiro de 2021, ao Capitólio dos Estados Unidos, e de 8 de janeiro de 2023, às sedes dos três Poderes em Brasília, exigem a mesma disciplina de prova. O relatório final do comitê da Câmara dos Representantes norte-americana não dedicou capítulo às redes sociais; a conclusão de que plataformas alternativas e tradicionais foram exploradas em conjunto por ativistas, e de que as grandes empresas falharam em aplicar as próprias regras, consta de um memorando de equipe que o comitê não adotou (Estados Unidos, 2022; Zakrzewski; Lima; Harwell, 2023). No Brasil, o relatório da comissão parlamentar mista de inquérito sobre o 8 de janeiro atribuiu papel aos algoritmos e às câmaras de eco e registrou convocações nas redes desde 3 de janeiro de 2023, mas é juízo político (Brasil, 2023c); a denúncia que descreve grupos de mensagens e listas de transmissão usados na mobilização é alegação em processo (Brasil, 2023d). O reconhecimento institucional mais forte veio do Supremo Tribunal Federal, que em 2025 declarou parcialmente inconstitucional o art. 19 do Marco Civil da Internet e ampliou a responsabilidade das plataformas, inclusive diante de ataques à democracia (Brasil, 2025f). Nenhuma fonte verificada prova que algoritmos de recomendação tenham causado esses ataques; o que está documentado é o uso da infraestrutura privada de comunicação para mobilizar e amplificar, e as falhas de moderação. O argumento desta pesquisa não depende de provar a causa. Assim como o direito ambiental não espera a catástrofe para agir sobre o risco, um regime sobre recursos informacionais pode responder à probabilidade de dano coletivo, e não apenas ao dano consumado. A transposição desse raciocínio de precaução para os dados é proposta desta pesquisa.</w:t>
      </w:r>
    </w:p>
    <w:p>
      <w:pPr>
        <w:pStyle w:val="Texto"/>
      </w:pPr>
      <w:r>
        <w:rPr>
          <w:rFonts w:ascii="Times New Roman" w:hAnsi="Times New Roman" w:cs="Times New Roman"/>
          <w:sz w:val="24"/>
          <w:szCs w:val="24"/>
        </w:rPr>
        <w:t xml:space="preserve">A relação em que esses registros são produzidos é, além disso, assimétrica. O Código de Defesa do Consumidor reconhece a vulnerabilidade do consumidor no mercado de consumo (Brasil, 1990b, art. 4º, I), veda exigir vantagem manifestamente excessiva (art. 39, V), declara nulas as cláusulas que coloquem o consumidor em desvantagem exagerada (art. 51, IV) e define o contrato de adesão como aquele cujas cláusulas são estabelecidas unilateralmente pelo fornecedor (art. 54). Termos de uso são contratos de adesão, e a apropriação gratuita de registros comportamentais, cujo valor o usuário não conhece nem pode negociar, pode ser lida como desequilíbrio contratual; trata-se de tese argumentativa, e não de entendimento consolidado. A literatura sobre o trabalho em plataformas descreve mecanismo semelhante do outro lado da relação. Oliveira e Festi (2023, p. 58-62) mostram que as empresas-plataforma estabelecem relação acentuadamente assimétrica de poder, fixam unilateralmente os termos para trabalhadores, clientes e empresas, monitoram e classificam remotamente por meio de algoritmos e mobilizam o discurso da autonomia e da liberdade como recurso ideológico. O paralelo é deliberadamente limitado, porque o usuário não é trabalhador, mas a retórica da escolha livre opera de modo análogo no consentimento aos termos de uso. Os riscos descritos neste item não criam, por si, o patrimônio coletivo. Mostram por que a compensação deve destinar-se à coletividade e à redução de riscos, e não ao titular individual, e por que o regime precisa ser rígido.</w:t>
      </w:r>
    </w:p>
    <w:p>
      <w:pPr>
        <w:pStyle w:val="Ttulo1"/>
        <w:numPr>
          <w:ilvl w:val="0"/>
          <w:numId w:val="0"/>
        </w:numPr>
        <w:spacing w:before="240" w:after="120" w:line="360" w:lineRule="auto"/>
      </w:pPr>
      <w:r>
        <w:rPr>
          <w:rFonts w:ascii="Times New Roman" w:hAnsi="Times New Roman" w:cs="Times New Roman"/>
          <w:b/>
          <w:bCs/>
          <w:sz w:val="28"/>
          <w:szCs w:val="28"/>
        </w:rPr>
        <w:t xml:space="preserve">3. METODOLOGIA</w:t>
      </w:r>
    </w:p>
    <w:p>
      <w:pPr>
        <w:pStyle w:val="Texto"/>
      </w:pPr>
      <w:r>
        <w:rPr>
          <w:rFonts w:ascii="Times New Roman" w:hAnsi="Times New Roman" w:cs="Times New Roman"/>
          <w:sz w:val="24"/>
          <w:szCs w:val="24"/>
        </w:rPr>
        <w:t xml:space="preserve">A pesquisa adota abordagem qualitativa e combina revisão bibliográfica, análise documental e análise jurídica. Não há coleta de dados primários, entrevistas ou experimentos. Os dados quantitativos mencionados vêm de estatísticas oficiais, de relatórios de organismos internacionais e de documentos publicados por empresas, e servem para caracterizar o contexto brasileiro, não para estabelecer relações causais.</w:t>
      </w:r>
    </w:p>
    <w:p>
      <w:pPr>
        <w:pStyle w:val="Texto"/>
      </w:pPr>
      <w:r>
        <w:rPr>
          <w:rFonts w:ascii="Times New Roman" w:hAnsi="Times New Roman" w:cs="Times New Roman"/>
          <w:sz w:val="24"/>
          <w:szCs w:val="24"/>
        </w:rPr>
        <w:t xml:space="preserve">A revisão bibliográfica reuniu literatura sobre economia digital, infraestrutura digital, economia política dos dados, bens comuns do conhecimento, proteção de dados, tutela coletiva, riscos sociopolíticos dos dados comportamentais e soberania digital. Foram priorizados livros, artigos e relatórios que tratam da relação entre contribuição dos usuários, apropriação de valor e governança dos dados. A seleção incluiu deliberadamente posições contrárias ou céticas em relação à hipótese desta pesquisa, como as críticas à propriedade sobre dados, à participação do usuário como critério de alocação e à remuneração individual pelos dados, além das que preferem limitar a coleta a remunerá-la. Essas posições foram tratadas como objeções que a hipótese precisa enfrentar. As passagens utilizadas foram classificadas pelo grau de verificação: conferidas na fonte primária, extraídas do texto primário ou obtidas em obra de terceiro que as cita; as do último grupo foram usadas apenas como apoio, sem citação direta extensa.</w:t>
      </w:r>
    </w:p>
    <w:p>
      <w:pPr>
        <w:pStyle w:val="Texto"/>
      </w:pPr>
      <w:r>
        <w:rPr>
          <w:rFonts w:ascii="Times New Roman" w:hAnsi="Times New Roman" w:cs="Times New Roman"/>
          <w:sz w:val="24"/>
          <w:szCs w:val="24"/>
        </w:rPr>
        <w:t xml:space="preserve">O corpus documental compreende cinco conjuntos. O primeiro é a legislação brasileira pertinente: a Constituição Federal, o Código Tributário Nacional, a Lei Geral de Proteção de Dados Pessoais (LGPD) e a regulamentação da transferência internacional de dados, o Código de Defesa do Consumidor, o Marco Civil da Internet, a Política Nacional do Meio Ambiente, as leis sobre compensação financeira pela exploração de petróleo e de recursos minerais, a lei do Fundo de Universalização dos Serviços de Telecomunicações (Fust), a lei das apostas de quota fixa e os decretos que instituíram a Política Nacional de Cibersegurança e aprovaram a Política e a Estratégia Nacional de Defesa. O segundo reúne proposições legislativas sobre remuneração pelo uso de dados e sobre soberania digital, com destaque para o parecer da Comissão de Ciência, Tecnologia e Inovação da Câmara dos Deputados ao PLP nº 153/2025. O terceiro abrange normas e documentos estrangeiros e internacionais, como os regulamentos europeus sobre dados e mercados digitais, a lei russa da internet soberana e a ação comercial norte-americana contra o Brasil. O quarto reúne decisões e relatórios sobre riscos democráticos associados aos dados, como as decisões administrativas no caso Cambridge Analytica, o julgamento do Tribunal Superior Eleitoral de 2021, o relatório da comissão parlamentar mista de inquérito sobre o 8 de janeiro e a decisão do Supremo Tribunal Federal sobre o art. 19 do Marco Civil da Internet. O quinto reúne estatísticas oficiais e documentos empresariais, como a pesquisa TIC Domicílios 2025, as estatísticas do setor externo do Banco Central, a PNAD Contínua sobre informalidade e trabalho por plataformas digitais e o relatório anual de uma grande plataforma digital. Foram considerados documentos disponíveis até setembro de 2026.</w:t>
      </w:r>
    </w:p>
    <w:p>
      <w:pPr>
        <w:pStyle w:val="Texto"/>
      </w:pPr>
      <w:r>
        <w:rPr>
          <w:rFonts w:ascii="Times New Roman" w:hAnsi="Times New Roman" w:cs="Times New Roman"/>
          <w:sz w:val="24"/>
          <w:szCs w:val="24"/>
        </w:rPr>
        <w:t xml:space="preserve">Cada instrumento e cada modelo de repartição foi lido a partir das categorias estabelecidas no capítulo 2: objeto, fundamento, sujeitos, natureza tributária ou não tributária da obrigação e destinação dos recursos. Três distinções guiaram essa leitura: entre contribuição econômica e direito aos resultados, entre controle da DINFRA e titularidade jurídica e entre finalidade e fundamento. Os instrumentos existentes foram avaliados por sua função (proteção, acesso, financiamento ou coordenação) e por seu alcance em relação ao problema da pesquisa.</w:t>
      </w:r>
    </w:p>
    <w:p>
      <w:pPr>
        <w:pStyle w:val="Texto"/>
      </w:pPr>
      <w:r>
        <w:rPr>
          <w:rFonts w:ascii="Times New Roman" w:hAnsi="Times New Roman" w:cs="Times New Roman"/>
          <w:sz w:val="24"/>
          <w:szCs w:val="24"/>
        </w:rPr>
        <w:t xml:space="preserve">As experiências internacionais foram comparadas pelos objetivos declarados, pelos instrumentos adotados, pelos resultados e limites documentados e pela possibilidade de transposição ao contexto brasileiro. Os modelos de repartição foram confrontados por critérios comuns, sistematizados em quadro: fundamento, natureza jurídica, alcance e limites, incluídos a compatibilidade com a proteção de dados e os riscos de captura. A agenda de estudos do item 4.7 segue a estrutura da Política e da Estratégia Nacional de Defesa, que articulam objetivos, capacidades e concepção estratégica (Brasil, 2025a). Os indicadores propostos vêm acompanhados de fontes e, quando disponíveis, de linhas de base, e não se fixaram metas numéricas sem fundamento empírico. Pela mesma razão, a pesquisa não estima as receitas da compensação proposta: essa estimativa depende dos dados que o modelo do item 4.5 manda divulgar.</w:t>
      </w:r>
    </w:p>
    <w:p>
      <w:pPr>
        <w:pStyle w:val="Texto"/>
      </w:pPr>
      <w:r>
        <w:rPr>
          <w:rFonts w:ascii="Times New Roman" w:hAnsi="Times New Roman" w:cs="Times New Roman"/>
          <w:sz w:val="24"/>
          <w:szCs w:val="24"/>
        </w:rPr>
        <w:t xml:space="preserve">Os resultados têm limites que convém explicitar. A pesquisa depende de dados secundários e enfrenta as dificuldades de mensuração territorial das atividades digitais discutidas no item 2.3. Parte do quadro normativo está em transformação, com proposições legislativas em tramitação e regimes provisórios. Nos fatos ligados aos riscos democráticos, distinguiu-se o que é documentado, como decisões, documentos oficiais, declarações da própria empresa e estudos revisados por pares, do que é alegação ou juízo político. Por isso, os resultados têm caráter argumentativo e institucional: indicam em que medida a hipótese se sustenta, quais de seus elementos precisam ser reformulados e quais condições seriam necessárias para implementá-la.</w:t>
      </w:r>
    </w:p>
    <w:p>
      <w:pPr>
        <w:pStyle w:val="Ttulo1"/>
        <w:numPr>
          <w:ilvl w:val="0"/>
          <w:numId w:val="0"/>
        </w:numPr>
        <w:spacing w:before="240" w:after="120" w:line="360" w:lineRule="auto"/>
      </w:pPr>
      <w:r>
        <w:rPr>
          <w:rFonts w:ascii="Times New Roman" w:hAnsi="Times New Roman" w:cs="Times New Roman"/>
          <w:b/>
          <w:bCs/>
          <w:sz w:val="28"/>
          <w:szCs w:val="28"/>
        </w:rPr>
        <w:t xml:space="preserve">4. RESULTADOS E DISCUSSÕES</w:t>
      </w:r>
    </w:p>
    <w:p>
      <w:pPr>
        <w:pStyle w:val="Texto"/>
      </w:pPr>
      <w:r>
        <w:rPr>
          <w:rFonts w:ascii="Times New Roman" w:hAnsi="Times New Roman" w:cs="Times New Roman"/>
          <w:sz w:val="24"/>
          <w:szCs w:val="24"/>
        </w:rPr>
        <w:t xml:space="preserve">Este capítulo submete a hipótese patrimonial coletiva a quatro provas: as objeções da literatura, os instrumentos jurídicos existentes, a situação brasileira e as experiências internacionais. Os itens 4.1 a 4.5 avaliam o fundamento e as formas possíveis de participação nos benefícios; o item 4.6 trata da destinação, e o item 4.7 reúne as questões que estudos posteriores precisam responder sobre as capacidades a desenvolver. Essa ordem preserva a distinção, estabelecida no capítulo 2, entre a finalidade de uma política e o fundamento de uma obrigação.</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4.1 Contribuição dos usuários e fundamentos da participação nos benefícios</w:t>
      </w:r>
    </w:p>
    <w:p>
      <w:pPr>
        <w:pStyle w:val="Texto"/>
      </w:pPr>
      <w:r>
        <w:rPr>
          <w:rFonts w:ascii="Times New Roman" w:hAnsi="Times New Roman" w:cs="Times New Roman"/>
          <w:sz w:val="24"/>
          <w:szCs w:val="24"/>
        </w:rPr>
        <w:t xml:space="preserve">O item 2.6 apresentou a hipótese patrimonial coletiva como resposta possível às lacunas identificadas, e seu exame começa pelo objeto. A hipótese recai sobre os registros decorrentes da participação dos usuários e sobre os recursos informacionais formados por sua combinação, mas não abrange os resultados que dependem do trabalho, dos investimentos e da DINFRA mobilizados pelas empresas. Registros pessoais, base organizada e resultados de seu aproveitamento são, portanto, dimensões distintas da atividade. O reconhecimento examinado não equivaleria à propriedade estatal dos dados pessoais nem afastaria os direitos dos titulares, pois a proteção de dados é direito fundamental (Brasil, 1988, art. 5º, LXXIX). A dimensão coletiva recairia sobre os recursos cuja formação depende do conjunto das contribuições, e não sobre cada registro individual.</w:t>
      </w:r>
    </w:p>
    <w:p>
      <w:pPr>
        <w:pStyle w:val="Texto"/>
      </w:pPr>
      <w:r>
        <w:rPr>
          <w:rFonts w:ascii="Times New Roman" w:hAnsi="Times New Roman" w:cs="Times New Roman"/>
          <w:sz w:val="24"/>
          <w:szCs w:val="24"/>
        </w:rPr>
        <w:t xml:space="preserve">Reconhecer essa dimensão coletiva e reconhecer um direito à participação financeira são passos diferentes. O primeiro depende da delimitação do objeto e da justificação de seu exercício coletivo. O segundo exige demonstrar por que a exploração econômica desses recursos geraria uma obrigação de repartir benefícios, perante quem e com qual conteúdo. A hipótese enfrenta objeções nos dois planos. Ao examinar a proposta do Tesouro britânico de considerar a participação ativa dos usuários na criação de valor de plataformas digitais, Grinberg (2018) conclui que o critério tenderia a alcançar setores muito além dessas plataformas, como produtos farmacêuticos, serviços financeiros e internet das coisas. Viljoen (2021) segue outro caminho: critica as abordagens que procuram reafirmar o controle individual dos titulares ou maximizar seu ganho financeiro, por desconsiderarem o caráter relacional dos dados, e propõe instituições democráticas de governança. A primeira objeção questiona a especificidade da contribuição; a segunda, a pertinência do pagamento como resposta.</w:t>
      </w:r>
    </w:p>
    <w:p>
      <w:pPr>
        <w:pStyle w:val="Texto"/>
      </w:pPr>
      <w:r>
        <w:rPr>
          <w:rFonts w:ascii="Times New Roman" w:hAnsi="Times New Roman" w:cs="Times New Roman"/>
          <w:sz w:val="24"/>
          <w:szCs w:val="24"/>
        </w:rPr>
        <w:t xml:space="preserve">A objeção de Grinberg admite, porém, outra leitura. Se o critério da participação dos usuários alcança setores tão diversos, é porque os dados funcionam como insumo transversal de mercados interligados e interdependentes, papel comparável ao que o petróleo e os minérios desempenham em cadeias produtivas inteiras. Lida assim, a amplitude do critério reforça a dimensão coletiva da contribuição, em vez de enfraquecê-la. Por outro lado, ela agrava a dificuldade de delimitar os sujeitos obrigados, e a analogia, como discutido no item 2.6, ajuda a formular a pergunta sem oferecer o fundamento.</w:t>
      </w:r>
    </w:p>
    <w:p>
      <w:pPr>
        <w:pStyle w:val="Texto"/>
      </w:pPr>
      <w:r>
        <w:rPr>
          <w:rFonts w:ascii="Times New Roman" w:hAnsi="Times New Roman" w:cs="Times New Roman"/>
          <w:sz w:val="24"/>
          <w:szCs w:val="24"/>
        </w:rPr>
        <w:t xml:space="preserve">Antes de enfrentar essas restrições, é preciso saber de que contribuições se fala. Os usuários participam da formação dos registros de maneiras distintas. Fornecem informações, como dados cadastrais e declarações sobre preferências. Geram registros de comportamento, como histórico de navegação, localização e padrões de utilização. Produzem conteúdo, como textos, imagens e avaliações. E interagem com outros usuários. Essas formas diferem quanto à consciência que o usuário tem de sua geração e quanto aos regimes jurídicos aplicáveis: quem preenche um cadastro sabe que fornece dados, mas quem apenas navega costuma produzir registros de comportamento sem nenhuma ação deliberada de fornecimento. A diferença tem consequência econômica. Os dados cadastrais identificam o usuário; são os registros de comportamento que permitem formar perfis, inferências e previsões. Nolin (2020), ao retomar a noção de excedente comportamental de Zuboff, observa que esses registros sustentam aplicações altamente lucrativas em diversos mercados, e Farronato (2026) distingue os dados estáticos, como data de nascimento e endereço, mais próximos do petróleo e mais fáceis de valorar, dos comportamentais, sensíveis ao tempo, coproduzidos e difíceis de precificar. A contribuição economicamente mais relevante tende a ser, portanto, justamente a menos deliberada e a mais difícil de medir. O conteúdo, por sua vez, pode estar protegido por direitos autorais (Brasil, 1998b), o que exige compatibilizar eventual dimensão coletiva com direitos individuais já reconhecidos. A contribuição relevante varia também conforme a atividade, segundo os grupos de serviços distinguidos no item 2.3.</w:t>
      </w:r>
    </w:p>
    <w:p>
      <w:pPr>
        <w:pStyle w:val="Texto"/>
      </w:pPr>
      <w:r>
        <w:rPr>
          <w:rFonts w:ascii="Times New Roman" w:hAnsi="Times New Roman" w:cs="Times New Roman"/>
          <w:sz w:val="24"/>
          <w:szCs w:val="24"/>
        </w:rPr>
        <w:t xml:space="preserve">Essas contribuições não se confundem com as informações que as empresas inferem depois. Perfis, classificações e previsões resultam da análise dos registros e dependem do trabalho, dos métodos e da DINFRA empregados. As inferências continuam sujeitas à proteção de dados quando vinculadas a pessoa identificada, e os dados utilizados para formar o perfil comportamental de uma pessoa natural podem ser considerados dados pessoais (Brasil, 2018, art. 12, § 2º). Proteção, porém, não equivale a contribuição: as inferências pertencem aos resultados do aproveitamento. A delimitação exige ainda distinguir os dados pessoais, o regime dos dados sensíveis e as condições em que dados anonimizados deixam de se submeter à proteção (Brasil, 2018, arts. 5º, I a IV e XI, 11 e 12). Reunir registros em uma base não elimina sua natureza pessoal quando ainda é possível identificar as pessoas a que se referem, e o eventual afastamento desse regime não define quem teria direitos sobre os benefícios econômicos. As três leituras discutidas no item 2.5, embora divergentes entre si, são compatíveis com esse recorte: a dos dados como trabalho destaca a contribuição dos usuários, e as da apropriação e do ativo mostram que o valor se realiza na combinação e no controle das bases.</w:t>
      </w:r>
    </w:p>
    <w:p>
      <w:pPr>
        <w:pStyle w:val="Texto"/>
      </w:pPr>
      <w:r>
        <w:rPr>
          <w:rFonts w:ascii="Times New Roman" w:hAnsi="Times New Roman" w:cs="Times New Roman"/>
          <w:sz w:val="24"/>
          <w:szCs w:val="24"/>
        </w:rPr>
        <w:t xml:space="preserve">A primeira restrição decorre da reciprocidade. Muitos serviços baseados em dados são oferecidos sem cobrança direta, e o uso dos registros pode ser compreendido como contrapartida desse acesso. Com experimentos de escolha em larga escala, Brynjolfsson, Collis e Eggers (2019) estimam valores elevados atribuídos pelos usuários a serviços digitais gratuitos, o que reforça a leitura de que a troca já remunera parte da contribuição. Em sentido diverso, Belli et al. (2026b, p. 75) observam que, nos planos de internet móvel com aplicativos patrocinados, o acesso percebido como gratuito é pago com dados pessoais, em condições que concentram a coleta em poucas plataformas. A reciprocidade pode, assim, funcionar como limite ou como fundamento da hipótese, conforme os benefícios oferecidos correspondam ou não às contribuições que tornam possível o aproveitamento econômico. Essa troca, contudo, é bilateral. Cada usuário recebe o serviço em razão de sua própria utilização, ao passo que a utilidade obtida pela combinação dos registros de diferentes usuários não se explica inteiramente por nenhuma dessas relações isoladas.</w:t>
      </w:r>
    </w:p>
    <w:p>
      <w:pPr>
        <w:pStyle w:val="Texto"/>
      </w:pPr>
      <w:r>
        <w:rPr>
          <w:rFonts w:ascii="Times New Roman" w:hAnsi="Times New Roman" w:cs="Times New Roman"/>
          <w:sz w:val="24"/>
          <w:szCs w:val="24"/>
        </w:rPr>
        <w:t xml:space="preserve">A adesão aos termos de uso apresenta uma segunda restrição. Ao concordar com o tratamento de seus dados, o usuário confere segurança jurídica às empresas que o realizam nas condições estabelecidas. O consentimento, porém, é apenas uma das bases legais do tratamento, ao lado de outras, como a execução de contrato e o legítimo interesse (Brasil, 2018, art. 7º, I, V e IX). Quando adotado, deve ser livre, informado e inequívoco, referir-se a finalidades determinadas e pode ser revogado; autorizações genéricas são nulas (Brasil, 2018, arts. 5º, XII, e 8º, §§ 4º e 5º). Os princípios de finalidade, adequação e necessidade delimitam os tratamentos admitidos (Brasil, 2018, art. 6º), e Belli et al. (2026a, p. 19) registram as limitações do modelo de consentimento e de autogestão da privacidade, amplamente discutidas na literatura.</w:t>
      </w:r>
    </w:p>
    <w:p>
      <w:pPr>
        <w:pStyle w:val="Texto"/>
      </w:pPr>
      <w:r>
        <w:rPr>
          <w:rFonts w:ascii="Times New Roman" w:hAnsi="Times New Roman" w:cs="Times New Roman"/>
          <w:sz w:val="24"/>
          <w:szCs w:val="24"/>
        </w:rPr>
        <w:t xml:space="preserve">A adesão tampouco é inteiramente espontânea, porque o uso de plataformas se tornou condição para participar de atividades de estudo, trabalho e lazer. Serviços públicos essenciais passam a ser mediados por plataformas privadas (Belli et al., 2026b, p. 9); as plataformas de educação online se apoiam em serviços de nuvem de duas grandes empresas estrangeiras (Belli et al., 2026b, p. 73); e mais de 70% da população conectada, e cerca de 85% da população de menor renda, acessa a internet principalmente por um conjunto reduzido de aplicativos patrocinados (Belli et al., 2026b, p. 74). Nesse quadro, que se pode chamar de plataformização social, recusar os termos de uso equivale, muitas vezes, a renunciar ao próprio serviço. O consentimento autoriza o tratamento dentro desses limites, mas não resolve a distribuição de seus resultados. Ainda assim, a regularidade do tratamento impõe uma consequência à hipótese: seu fundamento não pode estar na ilicitude do uso dos dados, e sim na relação entre as contribuições e a apropriação dos benefícios.</w:t>
      </w:r>
    </w:p>
    <w:p>
      <w:pPr>
        <w:pStyle w:val="Texto"/>
      </w:pPr>
      <w:r>
        <w:rPr>
          <w:rFonts w:ascii="Times New Roman" w:hAnsi="Times New Roman" w:cs="Times New Roman"/>
          <w:sz w:val="24"/>
          <w:szCs w:val="24"/>
        </w:rPr>
        <w:t xml:space="preserve">A terceira restrição envolve a mensuração. Seria necessário distinguir as receitas que a atividade obteria sem os dados daquelas potencializadas por seu uso e cruzamento, o que exige um cenário contrafactual. Como discutido no item 2.3, a receita reúne os resultados de diferentes recursos produtivos e não permite isolar a contribuição dos usuários. A literatura econômica agrava essa dificuldade, pelas razões apresentadas no item 2.6: os dados de cada usuário revelam informações sobre outros, e o valor marginal individual é pequeno diante do benefício que o operador obtém com a agregação (Acemoglu et al., 2022; Belli et al., 2026a, p. 27). Indicadores aproximados podem identificar atividades em que o uso dos dados é determinante, como a publicidade segmentada, mas não quantificam a parcela atribuível a cada contribuição. Nos serviços em que os dados são constitutivos da atividade, o próprio cenário contrafactual perde sentido. Publicidade segmentada, sistemas de recomendação e modelos de inteligência artificial não existem, na forma em que são ofertados, sem o processamento de bases extensas de registros, e Belli et al. (2026b, p. 75) associam a posição dominante de grandes plataformas justamente à capacidade de treinar modelos com bases impossíveis de replicar. Nesses serviços, perguntar quanto a atividade renderia sem os dados é perguntar por outra atividade.</w:t>
      </w:r>
    </w:p>
    <w:p>
      <w:pPr>
        <w:pStyle w:val="Texto"/>
      </w:pPr>
      <w:r>
        <w:rPr>
          <w:rFonts w:ascii="Times New Roman" w:hAnsi="Times New Roman" w:cs="Times New Roman"/>
          <w:sz w:val="24"/>
          <w:szCs w:val="24"/>
        </w:rPr>
        <w:t xml:space="preserve">A dificuldade não pesa igualmente sobre todas as formas de participação. Compromete sobretudo os pagamentos individuais proporcionais e tem menor peso quando a participação se organiza coletivamente, embora não elimine a necessidade de justificar o critério adotado. No limite, a restrição trabalha a favor da hipótese: se o valor dos dados não pode ser precificado individualmente nem pelo mercado, a solução coletiva deixa de ser apenas uma possibilidade e passa a ser uma das poucas formas coerentes de reconhecê-lo. Coletiva, mas não necessariamente patrimonial: a mesma constatação justificaria também uma regulação corretiva, sem nenhum regime de patrimônio.</w:t>
      </w:r>
    </w:p>
    <w:p>
      <w:pPr>
        <w:pStyle w:val="Texto"/>
      </w:pPr>
      <w:r>
        <w:rPr>
          <w:rFonts w:ascii="Times New Roman" w:hAnsi="Times New Roman" w:cs="Times New Roman"/>
          <w:sz w:val="24"/>
          <w:szCs w:val="24"/>
        </w:rPr>
        <w:t xml:space="preserve">Se a participação tende ao coletivo, falta dizer quem integraria a coletividade e qual relação jurídica o direito pretendido supõe. Há três delimitações possíveis: os participantes de uma atividade determinada, um grupo definido por características comuns ou a sociedade brasileira. O ordenamento dispõe de categorias para distingui-las. Os direitos difusos têm titulares indeterminados, ligados por circunstâncias de fato; os coletivos em sentido estrito pertencem a grupo, categoria ou classe ligados entre si ou com a parte contrária por uma relação jurídica base; e os individuais homogêneos decorrem de origem comum (Brasil, 1990b, art. 81, parágrafo único). Os usuários de um serviço, vinculados à empresa pelos termos de uso, aproximam-se da segunda categoria; a sociedade brasileira, da primeira. A defesa coletiva dos interesses dos titulares, já prevista na LGPD (Brasil, 2018, art. 22), indica que a atuação coletiva não depende de propriedade. O direito pretendido pode assumir a forma de titularidade, de representação ou de participação sem domínio sobre os registros. A definição dos sujeitos obrigados segue a mesma lógica: as funções de controlador e operador ajudam a identificar decisões e operações, mas não determinam automaticamente quem estaria obrigado a repartir benefícios.</w:t>
      </w:r>
    </w:p>
    <w:p>
      <w:pPr>
        <w:pStyle w:val="Texto"/>
      </w:pPr>
      <w:r>
        <w:rPr>
          <w:rFonts w:ascii="Times New Roman" w:hAnsi="Times New Roman" w:cs="Times New Roman"/>
          <w:sz w:val="24"/>
          <w:szCs w:val="24"/>
        </w:rPr>
        <w:t xml:space="preserve">Passar das contribuições de usuários específicos para benefícios de alcance social exige justificação própria. O primeiro argumento vem da interdependência dos registros: quando a utilidade resulta da combinação, a parcela de cada contribuição se torna indeterminável. As inferências produzidas a partir de uma base também podem alcançar pessoas que não contribuíram para formá-la, o que amplia o grupo afetado. Belli et al. (2026b, p. 38 e 41-42) sustentam que a autodeterminação informativa tem uma dimensão coletiva, que inclui a capacidade de uma sociedade decidir como e onde os dados devem gerar valor. A formulação apoia a governança coletiva, mas não demonstra, por si, a titularidade patrimonial. A ampliação, além disso, tem um custo: quanto mais o benefício se afasta dos participantes da atividade, menor sua correspondência com as contribuições que o justificariam. Representação, arrecadação e gestão podem caber a instituições distintas, e a administração estatal dos recursos não assegura, por si, seu aproveitamento coletivo.</w:t>
      </w:r>
    </w:p>
    <w:p>
      <w:pPr>
        <w:pStyle w:val="Texto"/>
      </w:pPr>
      <w:r>
        <w:rPr>
          <w:rFonts w:ascii="Times New Roman" w:hAnsi="Times New Roman" w:cs="Times New Roman"/>
          <w:sz w:val="24"/>
          <w:szCs w:val="24"/>
        </w:rPr>
        <w:t xml:space="preserve">Resta definir o que se entende por aproveitamento econômico dos dados de titulares situados no Brasil. As categorias da LGPD ajudam a delimitar as operações relevantes: tratamento, banco de dados, transferência internacional e uso compartilhado (Brasil, 2018, art. 5º, IV, X, XV e XVI). A lei estabelece também um critério territorial, ao considerar coletados no território nacional os dados cujo titular nele se encontre no momento da coleta (Brasil, 2018, art. 3º, § 1º). Essas categorias descrevem operações, mas não identificam sua exploração econômica. O conceito de tratamento abrange atividades administrativas e de conformidade que não geram receitas, e a delimitação precisa considerar a finalidade econômica, que a própria lei distingue dos fins exclusivamente particulares e não econômicos (Brasil, 2018, art. 4º, I). Uma definição apoiada apenas na LGPD teria ainda outra lacuna: deixaria de fora os dados anonimizados (Brasil, 2018, art. 12), embora bases agregadas possam constituir recursos economicamente relevantes.</w:t>
      </w:r>
    </w:p>
    <w:p>
      <w:pPr>
        <w:pStyle w:val="Texto"/>
      </w:pPr>
      <w:r>
        <w:rPr>
          <w:rFonts w:ascii="Times New Roman" w:hAnsi="Times New Roman" w:cs="Times New Roman"/>
          <w:sz w:val="24"/>
          <w:szCs w:val="24"/>
        </w:rPr>
        <w:t xml:space="preserve">Por isso, esta pesquisa adota o armazenamento como marco. A escolha precisa ser justificada, porque o valor coletivo nasce da agregação e da exploração dos registros, e não de sua simples guarda. Três razões a sustentam. A agregação e a exploração pressupõem a retenção, de modo que o armazenamento é condição de qualquer aproveitamento. Os riscos que a retenção cria para titulares e terceiros, discutidos no item 2.6, surgem com ela, independentemente do uso posterior. E o armazenamento é verificável, ao contrário do valor obtido com cada processamento. O critério alcança todo controlador que colete e armazene esses dados com finalidade econômica, incluídas as bases anonimizadas ou agregadas formadas a partir deles, e exclui os tratamentos que a própria LGPD retira de seu âmbito (Brasil, 2018, art. 4º). Os operadores que apenas armazenam dados em nome de controladores, como os provedores de nuvem nessa função, não respondem pela compensação, que recai sobre quem decide manter os registros. A escolha tem um custo: alcança também quem guarda dados apenas para operações próprias, como bancos e varejistas, cujo aproveitamento dos recursos informacionais é menor. O item 4.5 trata desse custo pela graduação do valor conforme o tipo de uso.</w:t>
      </w:r>
    </w:p>
    <w:p>
      <w:pPr>
        <w:pStyle w:val="Texto"/>
      </w:pPr>
      <w:r>
        <w:rPr>
          <w:rFonts w:ascii="Times New Roman" w:hAnsi="Times New Roman" w:cs="Times New Roman"/>
          <w:sz w:val="24"/>
          <w:szCs w:val="24"/>
        </w:rPr>
        <w:t xml:space="preserve">Falta examinar o núcleo patrimonial da hipótese. Tratar os recursos informacionais como patrimônio coletivo de uso comum enfrenta três objeções. A primeira é normativa: nenhum dispositivo declara os recursos informacionais bem de uso comum, como o art. 225 faz com o meio ambiente. A Constituição, contudo, já conhece patrimônios que não pertencem ao Estado. O mercado interno integra o patrimônio nacional e deve ser incentivado de modo a viabilizar, entre outros fins, a autonomia tecnológica do país (Brasil, 1988, art. 219). A Floresta Amazônica, a Mata Atlântica e outros biomas são patrimônio nacional, e sua utilização se faz na forma da lei (Brasil, 1988, art. 225, § 4º), sem que as propriedades privadas neles situadas deixem de existir. O patrimônio cultural brasileiro abrange bens de natureza imaterial, tomados individualmente ou em conjunto (Brasil, 1988, art. 216). As interações de milhões de usuários situados no país são expressão concreta desse mercado interno, e os recursos informacionais formados por elas poderiam ser reconhecidos por lei como parte do patrimônio nacional, sem alteração da titularidade dos dados pessoais. O alcance desses dispositivos, porém, tem limites. O art. 219 é norma programática e nunca serviu de base a uma cobrança, e o patrimônio cultural impõe restrições, e não pagamentos. Esses dispositivos mostram que a categoria de patrimônio não estatal é compatível com a Constituição e apoiam a governança coletiva, mas não demonstram que os recursos informacionais a integram, razão pela qual o argumento constitucional é tratado nesta pesquisa como auxiliar; a compensação financeira continua a depender do princípio do usuário-pagador e de um reconhecimento normativo expresso, preferencialmente constitucional.</w:t>
      </w:r>
    </w:p>
    <w:p>
      <w:pPr>
        <w:pStyle w:val="Texto"/>
      </w:pPr>
      <w:r>
        <w:rPr>
          <w:rFonts w:ascii="Times New Roman" w:hAnsi="Times New Roman" w:cs="Times New Roman"/>
          <w:sz w:val="24"/>
          <w:szCs w:val="24"/>
        </w:rPr>
        <w:t xml:space="preserve">A segunda objeção diz respeito à compatibilidade com a proteção de dados, e o paralelo ambiental indica uma resposta. A propriedade de um terreno convive com o caráter de bem de uso comum do meio ambiente que nele se encontra; da mesma forma, os direitos individuais dos titulares sobre seus dados pessoais poderiam conviver com o caráter coletivo das bases formadas por sua agregação. A terceira objeção é de delimitação. O patrimônio coletivo alcançaria os recursos formados pela agregação de registros de titulares situados no Brasil, segundo o critério territorial da LGPD (Brasil, 2018, art. 3º, § 1º), e não cada registro isoladamente. Nenhuma das três objeções é intransponível, mas a primeira exige uma decisão política que ainda não foi tomada.</w:t>
      </w:r>
    </w:p>
    <w:p>
      <w:pPr>
        <w:pStyle w:val="Texto"/>
      </w:pPr>
      <w:r>
        <w:rPr>
          <w:rFonts w:ascii="Times New Roman" w:hAnsi="Times New Roman" w:cs="Times New Roman"/>
          <w:sz w:val="24"/>
          <w:szCs w:val="24"/>
        </w:rPr>
        <w:t xml:space="preserve">O exame confirma parte da hipótese e deixa a outra parte como proposta. A interdependência das contribuições se mostrou fundamento consistente para uma participação coletiva na governança dos recursos informacionais e na destinação de benefícios, e as categorias de direitos coletivos do ordenamento permitem organizá-la sem propriedade sobre os registros. Essa parte se sustenta no direito vigente. O pagamento individual foi a forma menos sustentável, pelas dificuldades de mensuração, pela reciprocidade parcial já existente e pelo risco de converter a proteção de dados em mercado. O componente patrimonial, ao contrário, não decorre do direito vigente. Tratar os recursos informacionais como patrimônio coletivo de uso comum dispensa a titularidade estatal, mas exige um reconhecimento normativo que ainda não existe e depende, no essencial, do argumento de atribuição, já que os argumentos econômico e constitucional apenas removem obstáculos. É uma proposta de direito a constituir, sujeita às condições de refutação indicadas no item 2.6. Os itens 4.2 e 4.5 examinam suas consequências para a natureza da obrigação.</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4.2 Instrumentos existentes: alcance e insuficiências diante do problema identificado</w:t>
      </w:r>
    </w:p>
    <w:p>
      <w:pPr>
        <w:pStyle w:val="Texto"/>
      </w:pPr>
      <w:r>
        <w:rPr>
          <w:rFonts w:ascii="Times New Roman" w:hAnsi="Times New Roman" w:cs="Times New Roman"/>
          <w:sz w:val="24"/>
          <w:szCs w:val="24"/>
        </w:rPr>
        <w:t xml:space="preserve">Os instrumentos existentes foram examinados por sua função: proteção, acesso, financiamento e coordenação. A todos se dirigiu a mesma pergunta: algum deles reconhece a participação coletiva dos usuários nos benefícios da economia dos dados ou poderia ser recalibrado para fazê-lo? O Quadro 2 sintetiza o resultado.</w:t>
      </w:r>
    </w:p>
    <w:p>
      <w:pPr>
        <w:pStyle w:val="Texto"/>
      </w:pPr>
      <w:r>
        <w:rPr>
          <w:rFonts w:ascii="Times New Roman" w:hAnsi="Times New Roman" w:cs="Times New Roman"/>
          <w:sz w:val="24"/>
          <w:szCs w:val="24"/>
        </w:rPr>
        <w:t xml:space="preserve">A LGPD organiza direitos e deveres sobre o tratamento. Assegura a portabilidade dos dados (Brasil, 2018, art. 18, V), admite a defesa coletiva dos titulares (Brasil, 2018, art. 22) e atribui à autoridade nacional competência para dispor sobre padrões de interoperabilidade para fins de portabilidade, livre acesso aos dados e segurança (Brasil, 2018, art. 40). Esses dispositivos reduzem a dependência dos titulares em relação a um provedor e podem sustentar formas de governança coletiva, mas não instituem participação nos resultados econômicos. Belli et al. (2026b, p. 66) avaliam que a aplicação da lei permanece tímida, especialmente em relação a sistemas de inteligência artificial, e que o país não dispõe de uma estratégia nacional de dados. O Código de Defesa do Consumidor contém as categorias de tutela coletiva discutidas no item 4.1. O Marco Civil da Internet, por sua vez, consagra a neutralidade da rede (Brasil, 2014, art. 9º), cuja aplicação às práticas de patrocínio de aplicativos afeta diretamente a concentração da coleta de dados (Belli et al., 2026b, p. 216).</w:t>
      </w:r>
    </w:p>
    <w:p>
      <w:pPr>
        <w:pStyle w:val="Texto"/>
      </w:pPr>
      <w:r>
        <w:rPr>
          <w:rFonts w:ascii="Times New Roman" w:hAnsi="Times New Roman" w:cs="Times New Roman"/>
          <w:sz w:val="24"/>
          <w:szCs w:val="24"/>
        </w:rPr>
        <w:t xml:space="preserve">No plano do financiamento, o Fust financia a expansão de serviços de telecomunicações e pode sustentar a conectividade (Brasil, 2000b; Brasil, 2020), mas não guarda relação com a contribuição dos usuários. Nenhum instrumento vigente vincula a apropriação do valor dos dados comportamentais a uma contrapartida para a coletividade que os gera.</w:t>
      </w:r>
    </w:p>
    <w:p>
      <w:pPr>
        <w:pStyle w:val="Texto"/>
      </w:pPr>
      <w:r>
        <w:rPr>
          <w:rFonts w:ascii="Times New Roman" w:hAnsi="Times New Roman" w:cs="Times New Roman"/>
          <w:sz w:val="24"/>
          <w:szCs w:val="24"/>
        </w:rPr>
        <w:t xml:space="preserve">O regime de propriedade intelectual regula parte dos componentes intangíveis da DINFRA. A Lei nº 9.279/1996 disciplina patentes e marcas, a Lei nº 9.609/1998 protege programas de computador e a Lei nº 9.610/1998 trata dos direitos autorais (Brasil, 1996; Brasil, 1998a; Brasil, 1998b). Ao proteger os titulares das soluções, esses diplomas podem restringir a reprodução de alternativas, o que importa na perspectiva da dependência computacional. Belli et al. (2026a, p. 65-69) acrescentam que a inovação resultante do processamento de dados tende a ser registrada fora do país.</w:t>
      </w:r>
    </w:p>
    <w:p>
      <w:pPr>
        <w:pStyle w:val="Texto"/>
      </w:pPr>
      <w:r>
        <w:rPr>
          <w:rFonts w:ascii="Times New Roman" w:hAnsi="Times New Roman" w:cs="Times New Roman"/>
          <w:sz w:val="24"/>
          <w:szCs w:val="24"/>
        </w:rPr>
        <w:t xml:space="preserve">Os instrumentos de soberania digital e de política industrial formam um conjunto amplo e pouco coordenado. A Política Nacional de Cibersegurança instituiu um comitê nacional e diretrizes para a proteção do espaço cibernético (Brasil, 2023a). A Estratégia Nacional de Defesa trata a cibernética como capacidade necessária para assegurar o uso do espaço cibernético e atribui o setor cibernético ao Exército (Brasil, 2025a). O Plano Brasileiro de Inteligência Artificial prevê investimentos de R$ 23 bilhões em quatro anos (Belli et al., 2026b, p. 61). Instituído por medida provisória em 2025, o Regime Especial de Tributação para Serviços de Datacenter (Redata) condicionou benefícios à disponibilização de parte da capacidade de processamento ao mercado interno ou a investimentos em pesquisa e desenvolvimento, ao uso de energia limpa e a contrapartidas de eficiência hídrica (Brasil, 2025c; Lefosse, 2025); com a caducidade da medida, o governo apresentou o PL nº 278/2026 para reinstituí-lo (Machado Meyer, 2026). Belli et al. (2026b, p. 168-172) apontam que o Comitê Interministerial para a Transformação Digital (CITDigital), o Sistema de Administração dos Recursos de Tecnologia da Informação (SISP) e o Sistema Nacional de Processamento de Alto Desempenho (SINAPAD) poderiam sustentar a coordenação, mas operam de forma fragmentada.</w:t>
      </w:r>
    </w:p>
    <w:p>
      <w:pPr>
        <w:pStyle w:val="Texto"/>
      </w:pPr>
      <w:r>
        <w:rPr>
          <w:rFonts w:ascii="Times New Roman" w:hAnsi="Times New Roman" w:cs="Times New Roman"/>
          <w:sz w:val="24"/>
          <w:szCs w:val="24"/>
        </w:rPr>
        <w:t xml:space="preserve">As propostas legislativas em tramitação mostram como o debate brasileiro tem tratado a repartição. Belli et al. (2026a, p. 36-41) identificam, entre as iniciativas, mecanismos de remuneração direta aos usuários, como os do PL nº 4.976/2024 e do PLP nº 157/2025, e o PLP nº 234/2023, que propõe atribuir aos titulares propriedade plena sobre seus dados pessoais e uma parcela das receitas de sua monetização. Todas partem do titular individual, e nenhuma trata os recursos informacionais agregados como patrimônio coletivo. Para os autores, essas propostas esbarram em escasso consenso legislativo.</w:t>
      </w:r>
    </w:p>
    <w:p>
      <w:pPr>
        <w:pStyle w:val="Texto"/>
      </w:pPr>
      <w:r>
        <w:rPr>
          <w:rFonts w:ascii="Times New Roman" w:hAnsi="Times New Roman" w:cs="Times New Roman"/>
          <w:sz w:val="24"/>
          <w:szCs w:val="24"/>
        </w:rPr>
        <w:t xml:space="preserve">Os instrumentos existentes protegem direitos, asseguram acesso, financiam parte das capacidades e oferecem espaços de coordenação. Nenhum deles reconhece a participação coletiva dos usuários nos benefícios. A insuficiência é de duas ordens. A primeira é de fundamento: falta um vínculo jurídico entre a contribuição dos usuários e a apropriação dos resultados. A segunda é de coordenação: os instrumentos de soberania digital estão dispersos entre órgãos e regimes. Essa segunda insuficiência pode ser enfrentada qualquer que seja o resultado da hipótese, e por isso a agenda do item 4.7 parte de capacidades viáveis com ou sem repartição financeira.</w:t>
      </w:r>
    </w:p>
    <w:p>
      <w:pPr>
        <w:keepNext/>
        <w:spacing w:before="240" w:after="120" w:line="240" w:lineRule="auto"/>
        <w:jc w:val="center"/>
      </w:pPr>
      <w:r>
        <w:rPr>
          <w:rFonts w:ascii="Times New Roman" w:hAnsi="Times New Roman" w:cs="Times New Roman"/>
          <w:b/>
          <w:bCs/>
          <w:sz w:val="22"/>
          <w:szCs w:val="22"/>
        </w:rPr>
        <w:t xml:space="preserve">Quadro 2 – Instrumentos existentes: função, alcance e insuficiências</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200"/>
        <w:gridCol w:w="1500"/>
        <w:gridCol w:w="2700"/>
        <w:gridCol w:w="2671"/>
      </w:tblGrid>
      <w:tr>
        <w:trPr>
          <w:tblHeader/>
          <w:cantSplit/>
        </w:trPr>
        <w:tc>
          <w:tcPr>
            <w:tcW w:w="2200" w:type="dxa"/>
            <w:shd w:val="clear" w:color="auto" w:fill="D9D9D9"/>
          </w:tcPr>
          <w:p>
            <w:pPr>
              <w:spacing w:before="0" w:after="0" w:line="240" w:lineRule="auto"/>
              <w:jc w:val="left"/>
            </w:pPr>
            <w:r>
              <w:rPr>
                <w:rFonts w:ascii="Times New Roman" w:hAnsi="Times New Roman" w:cs="Times New Roman"/>
                <w:b/>
                <w:bCs/>
                <w:sz w:val="20"/>
                <w:szCs w:val="20"/>
              </w:rPr>
              <w:t xml:space="preserve">Instrumento</w:t>
            </w:r>
          </w:p>
        </w:tc>
        <w:tc>
          <w:tcPr>
            <w:tcW w:w="1500" w:type="dxa"/>
            <w:shd w:val="clear" w:color="auto" w:fill="D9D9D9"/>
          </w:tcPr>
          <w:p>
            <w:pPr>
              <w:spacing w:before="0" w:after="0" w:line="240" w:lineRule="auto"/>
              <w:jc w:val="left"/>
            </w:pPr>
            <w:r>
              <w:rPr>
                <w:rFonts w:ascii="Times New Roman" w:hAnsi="Times New Roman" w:cs="Times New Roman"/>
                <w:b/>
                <w:bCs/>
                <w:sz w:val="20"/>
                <w:szCs w:val="20"/>
              </w:rPr>
              <w:t xml:space="preserve">Função</w:t>
            </w:r>
          </w:p>
        </w:tc>
        <w:tc>
          <w:tcPr>
            <w:tcW w:w="2700" w:type="dxa"/>
            <w:shd w:val="clear" w:color="auto" w:fill="D9D9D9"/>
          </w:tcPr>
          <w:p>
            <w:pPr>
              <w:spacing w:before="0" w:after="0" w:line="240" w:lineRule="auto"/>
              <w:jc w:val="left"/>
            </w:pPr>
            <w:r>
              <w:rPr>
                <w:rFonts w:ascii="Times New Roman" w:hAnsi="Times New Roman" w:cs="Times New Roman"/>
                <w:b/>
                <w:bCs/>
                <w:sz w:val="20"/>
                <w:szCs w:val="20"/>
              </w:rPr>
              <w:t xml:space="preserve">Alcance em relação ao problema</w:t>
            </w:r>
          </w:p>
        </w:tc>
        <w:tc>
          <w:tcPr>
            <w:tcW w:w="2671" w:type="dxa"/>
            <w:shd w:val="clear" w:color="auto" w:fill="D9D9D9"/>
          </w:tcPr>
          <w:p>
            <w:pPr>
              <w:spacing w:before="0" w:after="0" w:line="240" w:lineRule="auto"/>
              <w:jc w:val="left"/>
            </w:pPr>
            <w:r>
              <w:rPr>
                <w:rFonts w:ascii="Times New Roman" w:hAnsi="Times New Roman" w:cs="Times New Roman"/>
                <w:b/>
                <w:bCs/>
                <w:sz w:val="20"/>
                <w:szCs w:val="20"/>
              </w:rPr>
              <w:t xml:space="preserve">Insuficiência</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LGPD (arts. 18, 22 e 40)</w:t>
            </w:r>
          </w:p>
        </w:tc>
        <w:tc>
          <w:tcPr>
            <w:tcW w:w="1500" w:type="dxa"/>
          </w:tcPr>
          <w:p>
            <w:pPr>
              <w:spacing w:before="0" w:after="0" w:line="240" w:lineRule="auto"/>
              <w:jc w:val="left"/>
            </w:pPr>
            <w:r>
              <w:rPr>
                <w:rFonts w:ascii="Times New Roman" w:hAnsi="Times New Roman" w:cs="Times New Roman"/>
                <w:sz w:val="20"/>
                <w:szCs w:val="20"/>
              </w:rPr>
              <w:t xml:space="preserve">Proteção e acesso</w:t>
            </w:r>
          </w:p>
        </w:tc>
        <w:tc>
          <w:tcPr>
            <w:tcW w:w="2700" w:type="dxa"/>
          </w:tcPr>
          <w:p>
            <w:pPr>
              <w:spacing w:before="0" w:after="0" w:line="240" w:lineRule="auto"/>
              <w:jc w:val="left"/>
            </w:pPr>
            <w:r>
              <w:rPr>
                <w:rFonts w:ascii="Times New Roman" w:hAnsi="Times New Roman" w:cs="Times New Roman"/>
                <w:sz w:val="20"/>
                <w:szCs w:val="20"/>
              </w:rPr>
              <w:t xml:space="preserve">Portabilidade, defesa coletiva e padrões de interoperabilidade</w:t>
            </w:r>
          </w:p>
        </w:tc>
        <w:tc>
          <w:tcPr>
            <w:tcW w:w="2671" w:type="dxa"/>
          </w:tcPr>
          <w:p>
            <w:pPr>
              <w:spacing w:before="0" w:after="0" w:line="240" w:lineRule="auto"/>
              <w:jc w:val="left"/>
            </w:pPr>
            <w:r>
              <w:rPr>
                <w:rFonts w:ascii="Times New Roman" w:hAnsi="Times New Roman" w:cs="Times New Roman"/>
                <w:sz w:val="20"/>
                <w:szCs w:val="20"/>
              </w:rPr>
              <w:t xml:space="preserve">Não institui participação nos resultados; aplicação ainda limitada</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CDC (art. 81) e Marco Civil (art. 9º)</w:t>
            </w:r>
          </w:p>
        </w:tc>
        <w:tc>
          <w:tcPr>
            <w:tcW w:w="1500" w:type="dxa"/>
          </w:tcPr>
          <w:p>
            <w:pPr>
              <w:spacing w:before="0" w:after="0" w:line="240" w:lineRule="auto"/>
              <w:jc w:val="left"/>
            </w:pPr>
            <w:r>
              <w:rPr>
                <w:rFonts w:ascii="Times New Roman" w:hAnsi="Times New Roman" w:cs="Times New Roman"/>
                <w:sz w:val="20"/>
                <w:szCs w:val="20"/>
              </w:rPr>
              <w:t xml:space="preserve">Tutela coletiva e neutralidade</w:t>
            </w:r>
          </w:p>
        </w:tc>
        <w:tc>
          <w:tcPr>
            <w:tcW w:w="2700" w:type="dxa"/>
          </w:tcPr>
          <w:p>
            <w:pPr>
              <w:spacing w:before="0" w:after="0" w:line="240" w:lineRule="auto"/>
              <w:jc w:val="left"/>
            </w:pPr>
            <w:r>
              <w:rPr>
                <w:rFonts w:ascii="Times New Roman" w:hAnsi="Times New Roman" w:cs="Times New Roman"/>
                <w:sz w:val="20"/>
                <w:szCs w:val="20"/>
              </w:rPr>
              <w:t xml:space="preserve">Categorias de direitos coletivos; limite ao patrocínio de aplicativos</w:t>
            </w:r>
          </w:p>
        </w:tc>
        <w:tc>
          <w:tcPr>
            <w:tcW w:w="2671" w:type="dxa"/>
          </w:tcPr>
          <w:p>
            <w:pPr>
              <w:spacing w:before="0" w:after="0" w:line="240" w:lineRule="auto"/>
              <w:jc w:val="left"/>
            </w:pPr>
            <w:r>
              <w:rPr>
                <w:rFonts w:ascii="Times New Roman" w:hAnsi="Times New Roman" w:cs="Times New Roman"/>
                <w:sz w:val="20"/>
                <w:szCs w:val="20"/>
              </w:rPr>
              <w:t xml:space="preserve">Não tratam da repartição de benefícios</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Fust (Leis nº 9.998/2000 e nº 14.109/2020)</w:t>
            </w:r>
          </w:p>
        </w:tc>
        <w:tc>
          <w:tcPr>
            <w:tcW w:w="1500" w:type="dxa"/>
          </w:tcPr>
          <w:p>
            <w:pPr>
              <w:spacing w:before="0" w:after="0" w:line="240" w:lineRule="auto"/>
              <w:jc w:val="left"/>
            </w:pPr>
            <w:r>
              <w:rPr>
                <w:rFonts w:ascii="Times New Roman" w:hAnsi="Times New Roman" w:cs="Times New Roman"/>
                <w:sz w:val="20"/>
                <w:szCs w:val="20"/>
              </w:rPr>
              <w:t xml:space="preserve">Financiamento</w:t>
            </w:r>
          </w:p>
        </w:tc>
        <w:tc>
          <w:tcPr>
            <w:tcW w:w="2700" w:type="dxa"/>
          </w:tcPr>
          <w:p>
            <w:pPr>
              <w:spacing w:before="0" w:after="0" w:line="240" w:lineRule="auto"/>
              <w:jc w:val="left"/>
            </w:pPr>
            <w:r>
              <w:rPr>
                <w:rFonts w:ascii="Times New Roman" w:hAnsi="Times New Roman" w:cs="Times New Roman"/>
                <w:sz w:val="20"/>
                <w:szCs w:val="20"/>
              </w:rPr>
              <w:t xml:space="preserve">Conectividade</w:t>
            </w:r>
          </w:p>
        </w:tc>
        <w:tc>
          <w:tcPr>
            <w:tcW w:w="2671" w:type="dxa"/>
          </w:tcPr>
          <w:p>
            <w:pPr>
              <w:spacing w:before="0" w:after="0" w:line="240" w:lineRule="auto"/>
              <w:jc w:val="left"/>
            </w:pPr>
            <w:r>
              <w:rPr>
                <w:rFonts w:ascii="Times New Roman" w:hAnsi="Times New Roman" w:cs="Times New Roman"/>
                <w:sz w:val="20"/>
                <w:szCs w:val="20"/>
              </w:rPr>
              <w:t xml:space="preserve">Não se relaciona com a contribuição dos usuários</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Leis nº 9.279/1996, nº 9.609/1998 e nº 9.610/1998</w:t>
            </w:r>
          </w:p>
        </w:tc>
        <w:tc>
          <w:tcPr>
            <w:tcW w:w="1500" w:type="dxa"/>
          </w:tcPr>
          <w:p>
            <w:pPr>
              <w:spacing w:before="0" w:after="0" w:line="240" w:lineRule="auto"/>
              <w:jc w:val="left"/>
            </w:pPr>
            <w:r>
              <w:rPr>
                <w:rFonts w:ascii="Times New Roman" w:hAnsi="Times New Roman" w:cs="Times New Roman"/>
                <w:sz w:val="20"/>
                <w:szCs w:val="20"/>
              </w:rPr>
              <w:t xml:space="preserve">Propriedade intelectual</w:t>
            </w:r>
          </w:p>
        </w:tc>
        <w:tc>
          <w:tcPr>
            <w:tcW w:w="2700" w:type="dxa"/>
          </w:tcPr>
          <w:p>
            <w:pPr>
              <w:spacing w:before="0" w:after="0" w:line="240" w:lineRule="auto"/>
              <w:jc w:val="left"/>
            </w:pPr>
            <w:r>
              <w:rPr>
                <w:rFonts w:ascii="Times New Roman" w:hAnsi="Times New Roman" w:cs="Times New Roman"/>
                <w:sz w:val="20"/>
                <w:szCs w:val="20"/>
              </w:rPr>
              <w:t xml:space="preserve">Regulam intangíveis da DINFRA</w:t>
            </w:r>
          </w:p>
        </w:tc>
        <w:tc>
          <w:tcPr>
            <w:tcW w:w="2671" w:type="dxa"/>
          </w:tcPr>
          <w:p>
            <w:pPr>
              <w:spacing w:before="0" w:after="0" w:line="240" w:lineRule="auto"/>
              <w:jc w:val="left"/>
            </w:pPr>
            <w:r>
              <w:rPr>
                <w:rFonts w:ascii="Times New Roman" w:hAnsi="Times New Roman" w:cs="Times New Roman"/>
                <w:sz w:val="20"/>
                <w:szCs w:val="20"/>
              </w:rPr>
              <w:t xml:space="preserve">Podem reforçar a dependência</w:t>
            </w:r>
          </w:p>
        </w:tc>
      </w:tr>
      <w:tr>
        <w:trPr>
          <w:cantSplit/>
        </w:trPr>
        <w:tc>
          <w:tcPr>
            <w:tcW w:w="2200" w:type="dxa"/>
          </w:tcPr>
          <w:p>
            <w:pPr>
              <w:spacing w:before="0" w:after="0" w:line="240" w:lineRule="auto"/>
              <w:jc w:val="left"/>
            </w:pPr>
            <w:r>
              <w:rPr>
                <w:rFonts w:ascii="Times New Roman" w:hAnsi="Times New Roman" w:cs="Times New Roman"/>
                <w:b/>
                <w:bCs/>
                <w:sz w:val="20"/>
                <w:szCs w:val="20"/>
              </w:rPr>
              <w:t xml:space="preserve">PNCiber, END, PBIA, Redata, CITDigital, SISP, SINAPAD</w:t>
            </w:r>
          </w:p>
        </w:tc>
        <w:tc>
          <w:tcPr>
            <w:tcW w:w="1500" w:type="dxa"/>
          </w:tcPr>
          <w:p>
            <w:pPr>
              <w:spacing w:before="0" w:after="0" w:line="240" w:lineRule="auto"/>
              <w:jc w:val="left"/>
            </w:pPr>
            <w:r>
              <w:rPr>
                <w:rFonts w:ascii="Times New Roman" w:hAnsi="Times New Roman" w:cs="Times New Roman"/>
                <w:sz w:val="20"/>
                <w:szCs w:val="20"/>
              </w:rPr>
              <w:t xml:space="preserve">Coordenação e fomento</w:t>
            </w:r>
          </w:p>
        </w:tc>
        <w:tc>
          <w:tcPr>
            <w:tcW w:w="2700" w:type="dxa"/>
          </w:tcPr>
          <w:p>
            <w:pPr>
              <w:spacing w:before="0" w:after="0" w:line="240" w:lineRule="auto"/>
              <w:jc w:val="left"/>
            </w:pPr>
            <w:r>
              <w:rPr>
                <w:rFonts w:ascii="Times New Roman" w:hAnsi="Times New Roman" w:cs="Times New Roman"/>
                <w:sz w:val="20"/>
                <w:szCs w:val="20"/>
              </w:rPr>
              <w:t xml:space="preserve">Capacidades, segurança e infraestrutura</w:t>
            </w:r>
          </w:p>
        </w:tc>
        <w:tc>
          <w:tcPr>
            <w:tcW w:w="2671" w:type="dxa"/>
          </w:tcPr>
          <w:p>
            <w:pPr>
              <w:spacing w:before="0" w:after="0" w:line="240" w:lineRule="auto"/>
              <w:jc w:val="left"/>
            </w:pPr>
            <w:r>
              <w:rPr>
                <w:rFonts w:ascii="Times New Roman" w:hAnsi="Times New Roman" w:cs="Times New Roman"/>
                <w:sz w:val="20"/>
                <w:szCs w:val="20"/>
              </w:rPr>
              <w:t xml:space="preserve">Fragmentação; Redata em situação provisória</w:t>
            </w:r>
          </w:p>
        </w:tc>
      </w:tr>
    </w:tbl>
    <w:p>
      <w:pPr>
        <w:spacing w:before="60" w:after="240" w:line="240" w:lineRule="auto"/>
      </w:pPr>
      <w:r>
        <w:rPr>
          <w:rFonts w:ascii="Times New Roman" w:hAnsi="Times New Roman" w:cs="Times New Roman"/>
          <w:sz w:val="20"/>
          <w:szCs w:val="20"/>
        </w:rPr>
        <w:t xml:space="preserve">Fonte: elaboração própria, com base na legislação citada e em Belli et al. (2026a; 2026b).</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4.3 O Brasil na economia dos dados</w:t>
      </w:r>
    </w:p>
    <w:p>
      <w:pPr>
        <w:pStyle w:val="Texto"/>
      </w:pPr>
      <w:r>
        <w:rPr>
          <w:rFonts w:ascii="Times New Roman" w:hAnsi="Times New Roman" w:cs="Times New Roman"/>
          <w:sz w:val="24"/>
          <w:szCs w:val="24"/>
        </w:rPr>
        <w:t xml:space="preserve">A situação brasileira pode ser descrita nas duas escalas adotadas no capítulo 2: a dos usuários, que geram os registros, e a da DINFRA, que os armazena, processa e transmite. A descrição a seguir serve de diagnóstico e de linha de base para os indicadores do item 4.7.</w:t>
      </w:r>
    </w:p>
    <w:p>
      <w:pPr>
        <w:pStyle w:val="Texto"/>
      </w:pPr>
      <w:r>
        <w:rPr>
          <w:rFonts w:ascii="Times New Roman" w:hAnsi="Times New Roman" w:cs="Times New Roman"/>
          <w:sz w:val="24"/>
          <w:szCs w:val="24"/>
        </w:rPr>
        <w:t xml:space="preserve">Na escala dos usuários, a conexão é ampla, mas desigual. A pesquisa TIC Domicílios 2025 registrou 85% da população com 10 anos ou mais como usuária de internet, o equivalente a 157 milhões de pessoas, e 86% dos domicílios com acesso à rede (NIC.br, 2025). O acesso exclusivamente pelo telefone celular alcançava 65% dos usuários e 87% das classes D e E, e 64 milhões de pessoas haviam esgotado o pacote de dados nos três meses anteriores. Apenas 29% da população atingia o nível mais alto do indicador de conectividade significativa (NIC.br, 2025). Belli et al. (2026b, p. 74-75) associam esse quadro aos planos de aplicativos patrocinados, que concentram a atenção dos usuários e a coleta de dados em poucas plataformas. A conectividade restrita, portanto, não reduz a geração de registros; concentra sua apropriação.</w:t>
      </w:r>
    </w:p>
    <w:p>
      <w:pPr>
        <w:pStyle w:val="Texto"/>
      </w:pPr>
      <w:r>
        <w:rPr>
          <w:rFonts w:ascii="Times New Roman" w:hAnsi="Times New Roman" w:cs="Times New Roman"/>
          <w:sz w:val="24"/>
          <w:szCs w:val="24"/>
        </w:rPr>
        <w:t xml:space="preserve">A dependência dos usuários não é apenas de acesso; é também de renda. Em 2025, 38,1% da população ocupada estava na informalidade (IBGE, 2026a), e cerca de 2 milhões de pessoas trabalharam por meio de plataformas digitais de serviços, das quais 1,8 milhão tinham nos aplicativos a ocupação principal (IBGE, 2026b). A dependência não se limita a motoristas e entregadores. Pequenos comerciantes, prestadores de serviços e trabalhadores autônomos usam serviços de mensageria e redes sociais para divulgar produtos, atender clientes e concluir vendas: pesquisa do Sebrae com a Fundação Getulio Vargas indicou que cerca de 70% dos pequenos negócios vendiam pela internet, com predomínio do WhatsApp (Sebrae, 2021). Episódios de indisponibilidade desses serviços mostraram que uma falha técnica externa pode interromper vendas e gerar perdas imediatas, sobretudo para quem não tem canais próprios (Nakagawa, 2021; CNN Brasil, 2020). As plataformas controlam unilateralmente tarifas, alcance das publicações, acesso aos consumidores e regras de permanência, e é desse controle que dependem a renda de milhões de pessoas e os registros que elas geram ao trabalhar e vender.</w:t>
      </w:r>
    </w:p>
    <w:p>
      <w:pPr>
        <w:pStyle w:val="Texto"/>
      </w:pPr>
      <w:r>
        <w:rPr>
          <w:rFonts w:ascii="Times New Roman" w:hAnsi="Times New Roman" w:cs="Times New Roman"/>
          <w:sz w:val="24"/>
          <w:szCs w:val="24"/>
        </w:rPr>
        <w:t xml:space="preserve">Os fluxos de valor só podem ser observados indiretamente. Em 2025, o déficit da conta de serviços do balanço de pagamentos somou US$ 52,9 bilhões, e as despesas líquidas com serviços de propriedade intelectual e com serviços de telecomunicação, computação e informações aumentaram US$ 2,5 bilhões e US$ 941 milhões, respectivamente, em relação ao ano anterior (Banco Central do Brasil, 2026). Esses números indicam pagamentos por tecnologia e serviços digitais, mas não a parcela do valor associada aos registros de usuários brasileiros. Os documentos empresariais tampouco a revelam. O relatório anual de uma das maiores plataformas digitais informa que suas estimativas de receita por localização dos usuários são afetadas por limitações de dados e que essa localização é estimada a partir de fatores como o endereço IP e a localização declarada (Meta Platforms, 2026). O caso brasileiro confirma, assim, os limites de cobertura estatística discutidos no item 2.3.</w:t>
      </w:r>
    </w:p>
    <w:p>
      <w:pPr>
        <w:pStyle w:val="Texto"/>
      </w:pPr>
      <w:r>
        <w:rPr>
          <w:rFonts w:ascii="Times New Roman" w:hAnsi="Times New Roman" w:cs="Times New Roman"/>
          <w:sz w:val="24"/>
          <w:szCs w:val="24"/>
        </w:rPr>
        <w:t xml:space="preserve">Na escala da DINFRA, a dependência é mais visível no setor público. Segundo levantamento citado por Belli et al. (2026b, p. 190), o setor público brasileiro gastou cerca de R$ 23 bilhões entre 2014 e 2025 com licenças de software, soluções de nuvem, aplicações de segurança e serviços similares fornecidos por corporações estrangeiras. Provedores norte-americanos e chineses controlam a maior parte do mercado mundial de nuvem (Belli et al., 2026b, p. 51), e a migração de soluções incorporadas envolve custos financeiros, operacionais e de requalificação de pessoal que caracterizam o aprisionamento tecnológico (Belli et al., 2026b, p. 104), ponto de consolidação da comodidade computacional descrita no item 2.4. Essa dependência se concentra nos componentes intangíveis da DINFRA: licenças, interfaces proprietárias e competências específicas de cada provedor são os elementos que dificultam a substituição.</w:t>
      </w:r>
    </w:p>
    <w:p>
      <w:pPr>
        <w:pStyle w:val="Texto"/>
      </w:pPr>
      <w:r>
        <w:rPr>
          <w:rFonts w:ascii="Times New Roman" w:hAnsi="Times New Roman" w:cs="Times New Roman"/>
          <w:sz w:val="24"/>
          <w:szCs w:val="24"/>
        </w:rPr>
        <w:t xml:space="preserve">O país dispõe, porém, de bases materiais e institucionais relevantes. Fontes renováveis atendem entre 70% e 80% de suas necessidades energéticas anuais, o que favorece a instalação de infraestrutura computacional (Belli et al., 2026b, p. 76). O Brasil concentra cerca de 23% das reservas mundiais de terras raras, mas responde por aproximadamente 1% do processamento global (Belli et al., 2026b, p. 79), o que ilustra a distância entre recurso disponível e capacidade produtiva. Na produção de semicondutores, o país retomou o programa de apoio ao setor e preservou o único produtor latino-americano, mas ainda está distante da capacidade de produzir chips e servidores de última geração (Belli et al., 2026b, p. 72). Empresas públicas como Serpro, Dataprev e as empresas estaduais de processamento de dados, além do SINAPAD, constituem capacidades de operação e de computação de alto desempenho sob controle nacional (Belli et al., 2026b, p. 157-158 e 171-172). Entre as empresas privadas, desenvolvedoras nacionais de software de gestão, como a TOTVS, mostram que há capacidade produtiva doméstica em segmentos relevantes.</w:t>
      </w:r>
    </w:p>
    <w:p>
      <w:pPr>
        <w:pStyle w:val="Texto"/>
      </w:pPr>
      <w:r>
        <w:rPr>
          <w:rFonts w:ascii="Times New Roman" w:hAnsi="Times New Roman" w:cs="Times New Roman"/>
          <w:sz w:val="24"/>
          <w:szCs w:val="24"/>
        </w:rPr>
        <w:t xml:space="preserve">O Pix ilustra uma capacidade nacional efetiva e também seus custos. Trata-se de uma infraestrutura pública digital de pagamentos, apontada por Belli et al. (2026b, p. 13) como exemplo de “boa soberania digital”. Em julho de 2026, o Representante de Comércio dos Estados Unidos concluiu a investigação aberta contra o Brasil com base na Seção 301 da Lei de Comércio de 1974 e anunciou a imposição de tarifas de 25% sobre determinados produtos brasileiros, citando, entre outras práticas, o comércio digital e os serviços de pagamento eletrônico (USTR, 2026). O episódio mostra que capacidades públicas digitais podem ampliar a autonomia e, ao mesmo tempo, expor o país a pressões comerciais, como antecipam Belli et al. (2026b, p. 142-143) ao discutir os riscos de iniciativas de regulação digital.</w:t>
      </w:r>
    </w:p>
    <w:p>
      <w:pPr>
        <w:pStyle w:val="Texto"/>
      </w:pPr>
      <w:r>
        <w:rPr>
          <w:rFonts w:ascii="Times New Roman" w:hAnsi="Times New Roman" w:cs="Times New Roman"/>
          <w:sz w:val="24"/>
          <w:szCs w:val="24"/>
        </w:rPr>
        <w:t xml:space="preserve">O diagnóstico identifica quatro dependências principais e três conjuntos de capacidades. As dependências estão na nuvem e no software utilizados pelo setor público, na coleta de dados concentrada em poucas plataformas, nos ativos intangíveis controlados por fornecedores externos e na renda de trabalhadores e pequenos negócios que passou a depender de plataformas privadas. As capacidades incluem a matriz energética, as infraestruturas públicas digitais e as empresas públicas de tecnologia, e os centros de computação de alto desempenho. O Quadro 3 organiza esses elementos como linhas de base.</w:t>
      </w:r>
    </w:p>
    <w:p>
      <w:pPr>
        <w:keepNext/>
        <w:spacing w:before="240" w:after="120" w:line="240" w:lineRule="auto"/>
        <w:jc w:val="center"/>
      </w:pPr>
      <w:r>
        <w:rPr>
          <w:rFonts w:ascii="Times New Roman" w:hAnsi="Times New Roman" w:cs="Times New Roman"/>
          <w:b/>
          <w:bCs/>
          <w:sz w:val="22"/>
          <w:szCs w:val="22"/>
        </w:rPr>
        <w:t xml:space="preserve">Quadro 3 – Linhas de base do diagnóstico brasileiro</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000"/>
        <w:gridCol w:w="2900"/>
        <w:gridCol w:w="2171"/>
        <w:gridCol w:w="2000"/>
      </w:tblGrid>
      <w:tr>
        <w:trPr>
          <w:tblHeader/>
          <w:cantSplit/>
        </w:trPr>
        <w:tc>
          <w:tcPr>
            <w:tcW w:w="2000" w:type="dxa"/>
            <w:shd w:val="clear" w:color="auto" w:fill="D9D9D9"/>
          </w:tcPr>
          <w:p>
            <w:pPr>
              <w:spacing w:before="0" w:after="0" w:line="240" w:lineRule="auto"/>
              <w:jc w:val="left"/>
            </w:pPr>
            <w:r>
              <w:rPr>
                <w:rFonts w:ascii="Times New Roman" w:hAnsi="Times New Roman" w:cs="Times New Roman"/>
                <w:b/>
                <w:bCs/>
                <w:sz w:val="20"/>
                <w:szCs w:val="20"/>
              </w:rPr>
              <w:t xml:space="preserve">Dimensão</w:t>
            </w:r>
          </w:p>
        </w:tc>
        <w:tc>
          <w:tcPr>
            <w:tcW w:w="2900" w:type="dxa"/>
            <w:shd w:val="clear" w:color="auto" w:fill="D9D9D9"/>
          </w:tcPr>
          <w:p>
            <w:pPr>
              <w:spacing w:before="0" w:after="0" w:line="240" w:lineRule="auto"/>
              <w:jc w:val="left"/>
            </w:pPr>
            <w:r>
              <w:rPr>
                <w:rFonts w:ascii="Times New Roman" w:hAnsi="Times New Roman" w:cs="Times New Roman"/>
                <w:b/>
                <w:bCs/>
                <w:sz w:val="20"/>
                <w:szCs w:val="20"/>
              </w:rPr>
              <w:t xml:space="preserve">Indicador</w:t>
            </w:r>
          </w:p>
        </w:tc>
        <w:tc>
          <w:tcPr>
            <w:tcW w:w="2171" w:type="dxa"/>
            <w:shd w:val="clear" w:color="auto" w:fill="D9D9D9"/>
          </w:tcPr>
          <w:p>
            <w:pPr>
              <w:spacing w:before="0" w:after="0" w:line="240" w:lineRule="auto"/>
              <w:jc w:val="left"/>
            </w:pPr>
            <w:r>
              <w:rPr>
                <w:rFonts w:ascii="Times New Roman" w:hAnsi="Times New Roman" w:cs="Times New Roman"/>
                <w:b/>
                <w:bCs/>
                <w:sz w:val="20"/>
                <w:szCs w:val="20"/>
              </w:rPr>
              <w:t xml:space="preserve">Situação observada</w:t>
            </w:r>
          </w:p>
        </w:tc>
        <w:tc>
          <w:tcPr>
            <w:tcW w:w="2000" w:type="dxa"/>
            <w:shd w:val="clear" w:color="auto" w:fill="D9D9D9"/>
          </w:tcPr>
          <w:p>
            <w:pPr>
              <w:spacing w:before="0" w:after="0" w:line="240" w:lineRule="auto"/>
              <w:jc w:val="left"/>
            </w:pPr>
            <w:r>
              <w:rPr>
                <w:rFonts w:ascii="Times New Roman" w:hAnsi="Times New Roman" w:cs="Times New Roman"/>
                <w:b/>
                <w:bCs/>
                <w:sz w:val="20"/>
                <w:szCs w:val="20"/>
              </w:rPr>
              <w:t xml:space="preserve">Fonte</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Acesso dos usuários</w:t>
            </w:r>
          </w:p>
        </w:tc>
        <w:tc>
          <w:tcPr>
            <w:tcW w:w="2900" w:type="dxa"/>
          </w:tcPr>
          <w:p>
            <w:pPr>
              <w:spacing w:before="0" w:after="0" w:line="240" w:lineRule="auto"/>
              <w:jc w:val="left"/>
            </w:pPr>
            <w:r>
              <w:rPr>
                <w:rFonts w:ascii="Times New Roman" w:hAnsi="Times New Roman" w:cs="Times New Roman"/>
                <w:sz w:val="20"/>
                <w:szCs w:val="20"/>
              </w:rPr>
              <w:t xml:space="preserve">Usuários de internet (10 anos ou mais)</w:t>
            </w:r>
          </w:p>
        </w:tc>
        <w:tc>
          <w:tcPr>
            <w:tcW w:w="2171" w:type="dxa"/>
          </w:tcPr>
          <w:p>
            <w:pPr>
              <w:spacing w:before="0" w:after="0" w:line="240" w:lineRule="auto"/>
              <w:jc w:val="left"/>
            </w:pPr>
            <w:r>
              <w:rPr>
                <w:rFonts w:ascii="Times New Roman" w:hAnsi="Times New Roman" w:cs="Times New Roman"/>
                <w:sz w:val="20"/>
                <w:szCs w:val="20"/>
              </w:rPr>
              <w:t xml:space="preserve">85% (157 milhões)</w:t>
            </w:r>
          </w:p>
        </w:tc>
        <w:tc>
          <w:tcPr>
            <w:tcW w:w="2000" w:type="dxa"/>
          </w:tcPr>
          <w:p>
            <w:pPr>
              <w:spacing w:before="0" w:after="0" w:line="240" w:lineRule="auto"/>
              <w:jc w:val="left"/>
            </w:pPr>
            <w:r>
              <w:rPr>
                <w:rFonts w:ascii="Times New Roman" w:hAnsi="Times New Roman" w:cs="Times New Roman"/>
                <w:sz w:val="20"/>
                <w:szCs w:val="20"/>
              </w:rPr>
              <w:t xml:space="preserve">NIC.br (2025)</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Qualidade do acesso</w:t>
            </w:r>
          </w:p>
        </w:tc>
        <w:tc>
          <w:tcPr>
            <w:tcW w:w="2900" w:type="dxa"/>
          </w:tcPr>
          <w:p>
            <w:pPr>
              <w:spacing w:before="0" w:after="0" w:line="240" w:lineRule="auto"/>
              <w:jc w:val="left"/>
            </w:pPr>
            <w:r>
              <w:rPr>
                <w:rFonts w:ascii="Times New Roman" w:hAnsi="Times New Roman" w:cs="Times New Roman"/>
                <w:sz w:val="20"/>
                <w:szCs w:val="20"/>
              </w:rPr>
              <w:t xml:space="preserve">Nível alto de conectividade significativa</w:t>
            </w:r>
          </w:p>
        </w:tc>
        <w:tc>
          <w:tcPr>
            <w:tcW w:w="2171" w:type="dxa"/>
          </w:tcPr>
          <w:p>
            <w:pPr>
              <w:spacing w:before="0" w:after="0" w:line="240" w:lineRule="auto"/>
              <w:jc w:val="left"/>
            </w:pPr>
            <w:r>
              <w:rPr>
                <w:rFonts w:ascii="Times New Roman" w:hAnsi="Times New Roman" w:cs="Times New Roman"/>
                <w:sz w:val="20"/>
                <w:szCs w:val="20"/>
              </w:rPr>
              <w:t xml:space="preserve">29% da população</w:t>
            </w:r>
          </w:p>
        </w:tc>
        <w:tc>
          <w:tcPr>
            <w:tcW w:w="2000" w:type="dxa"/>
          </w:tcPr>
          <w:p>
            <w:pPr>
              <w:spacing w:before="0" w:after="0" w:line="240" w:lineRule="auto"/>
              <w:jc w:val="left"/>
            </w:pPr>
            <w:r>
              <w:rPr>
                <w:rFonts w:ascii="Times New Roman" w:hAnsi="Times New Roman" w:cs="Times New Roman"/>
                <w:sz w:val="20"/>
                <w:szCs w:val="20"/>
              </w:rPr>
              <w:t xml:space="preserve">NIC.br (2025)</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Qualidade do acesso</w:t>
            </w:r>
          </w:p>
        </w:tc>
        <w:tc>
          <w:tcPr>
            <w:tcW w:w="2900" w:type="dxa"/>
          </w:tcPr>
          <w:p>
            <w:pPr>
              <w:spacing w:before="0" w:after="0" w:line="240" w:lineRule="auto"/>
              <w:jc w:val="left"/>
            </w:pPr>
            <w:r>
              <w:rPr>
                <w:rFonts w:ascii="Times New Roman" w:hAnsi="Times New Roman" w:cs="Times New Roman"/>
                <w:sz w:val="20"/>
                <w:szCs w:val="20"/>
              </w:rPr>
              <w:t xml:space="preserve">Acesso apenas por celular (classes D e E)</w:t>
            </w:r>
          </w:p>
        </w:tc>
        <w:tc>
          <w:tcPr>
            <w:tcW w:w="2171" w:type="dxa"/>
          </w:tcPr>
          <w:p>
            <w:pPr>
              <w:spacing w:before="0" w:after="0" w:line="240" w:lineRule="auto"/>
              <w:jc w:val="left"/>
            </w:pPr>
            <w:r>
              <w:rPr>
                <w:rFonts w:ascii="Times New Roman" w:hAnsi="Times New Roman" w:cs="Times New Roman"/>
                <w:sz w:val="20"/>
                <w:szCs w:val="20"/>
              </w:rPr>
              <w:t xml:space="preserve">87%</w:t>
            </w:r>
          </w:p>
        </w:tc>
        <w:tc>
          <w:tcPr>
            <w:tcW w:w="2000" w:type="dxa"/>
          </w:tcPr>
          <w:p>
            <w:pPr>
              <w:spacing w:before="0" w:after="0" w:line="240" w:lineRule="auto"/>
              <w:jc w:val="left"/>
            </w:pPr>
            <w:r>
              <w:rPr>
                <w:rFonts w:ascii="Times New Roman" w:hAnsi="Times New Roman" w:cs="Times New Roman"/>
                <w:sz w:val="20"/>
                <w:szCs w:val="20"/>
              </w:rPr>
              <w:t xml:space="preserve">NIC.br (2025)</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Fluxos externos</w:t>
            </w:r>
          </w:p>
        </w:tc>
        <w:tc>
          <w:tcPr>
            <w:tcW w:w="2900" w:type="dxa"/>
          </w:tcPr>
          <w:p>
            <w:pPr>
              <w:spacing w:before="0" w:after="0" w:line="240" w:lineRule="auto"/>
              <w:jc w:val="left"/>
            </w:pPr>
            <w:r>
              <w:rPr>
                <w:rFonts w:ascii="Times New Roman" w:hAnsi="Times New Roman" w:cs="Times New Roman"/>
                <w:sz w:val="20"/>
                <w:szCs w:val="20"/>
              </w:rPr>
              <w:t xml:space="preserve">Déficit em serviços (2025)</w:t>
            </w:r>
          </w:p>
        </w:tc>
        <w:tc>
          <w:tcPr>
            <w:tcW w:w="2171" w:type="dxa"/>
          </w:tcPr>
          <w:p>
            <w:pPr>
              <w:spacing w:before="0" w:after="0" w:line="240" w:lineRule="auto"/>
              <w:jc w:val="left"/>
            </w:pPr>
            <w:r>
              <w:rPr>
                <w:rFonts w:ascii="Times New Roman" w:hAnsi="Times New Roman" w:cs="Times New Roman"/>
                <w:sz w:val="20"/>
                <w:szCs w:val="20"/>
              </w:rPr>
              <w:t xml:space="preserve">US$ 52,9 bilhões</w:t>
            </w:r>
          </w:p>
        </w:tc>
        <w:tc>
          <w:tcPr>
            <w:tcW w:w="2000" w:type="dxa"/>
          </w:tcPr>
          <w:p>
            <w:pPr>
              <w:spacing w:before="0" w:after="0" w:line="240" w:lineRule="auto"/>
              <w:jc w:val="left"/>
            </w:pPr>
            <w:r>
              <w:rPr>
                <w:rFonts w:ascii="Times New Roman" w:hAnsi="Times New Roman" w:cs="Times New Roman"/>
                <w:sz w:val="20"/>
                <w:szCs w:val="20"/>
              </w:rPr>
              <w:t xml:space="preserve">Banco Central do Brasil (2026)</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Fluxos externos</w:t>
            </w:r>
          </w:p>
        </w:tc>
        <w:tc>
          <w:tcPr>
            <w:tcW w:w="2900" w:type="dxa"/>
          </w:tcPr>
          <w:p>
            <w:pPr>
              <w:spacing w:before="0" w:after="0" w:line="240" w:lineRule="auto"/>
              <w:jc w:val="left"/>
            </w:pPr>
            <w:r>
              <w:rPr>
                <w:rFonts w:ascii="Times New Roman" w:hAnsi="Times New Roman" w:cs="Times New Roman"/>
                <w:sz w:val="20"/>
                <w:szCs w:val="20"/>
              </w:rPr>
              <w:t xml:space="preserve">Variação das despesas com propriedade intelectual (2025)</w:t>
            </w:r>
          </w:p>
        </w:tc>
        <w:tc>
          <w:tcPr>
            <w:tcW w:w="2171" w:type="dxa"/>
          </w:tcPr>
          <w:p>
            <w:pPr>
              <w:spacing w:before="0" w:after="0" w:line="240" w:lineRule="auto"/>
              <w:jc w:val="left"/>
            </w:pPr>
            <w:r>
              <w:rPr>
                <w:rFonts w:ascii="Times New Roman" w:hAnsi="Times New Roman" w:cs="Times New Roman"/>
                <w:sz w:val="20"/>
                <w:szCs w:val="20"/>
              </w:rPr>
              <w:t xml:space="preserve">Aumento de US$ 2,5 bilhões</w:t>
            </w:r>
          </w:p>
        </w:tc>
        <w:tc>
          <w:tcPr>
            <w:tcW w:w="2000" w:type="dxa"/>
          </w:tcPr>
          <w:p>
            <w:pPr>
              <w:spacing w:before="0" w:after="0" w:line="240" w:lineRule="auto"/>
              <w:jc w:val="left"/>
            </w:pPr>
            <w:r>
              <w:rPr>
                <w:rFonts w:ascii="Times New Roman" w:hAnsi="Times New Roman" w:cs="Times New Roman"/>
                <w:sz w:val="20"/>
                <w:szCs w:val="20"/>
              </w:rPr>
              <w:t xml:space="preserve">Banco Central do Brasil (2026)</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Dependência econômica</w:t>
            </w:r>
          </w:p>
        </w:tc>
        <w:tc>
          <w:tcPr>
            <w:tcW w:w="2900" w:type="dxa"/>
          </w:tcPr>
          <w:p>
            <w:pPr>
              <w:spacing w:before="0" w:after="0" w:line="240" w:lineRule="auto"/>
              <w:jc w:val="left"/>
            </w:pPr>
            <w:r>
              <w:rPr>
                <w:rFonts w:ascii="Times New Roman" w:hAnsi="Times New Roman" w:cs="Times New Roman"/>
                <w:sz w:val="20"/>
                <w:szCs w:val="20"/>
              </w:rPr>
              <w:t xml:space="preserve">Taxa de informalidade (2025)</w:t>
            </w:r>
          </w:p>
        </w:tc>
        <w:tc>
          <w:tcPr>
            <w:tcW w:w="2171" w:type="dxa"/>
          </w:tcPr>
          <w:p>
            <w:pPr>
              <w:spacing w:before="0" w:after="0" w:line="240" w:lineRule="auto"/>
              <w:jc w:val="left"/>
            </w:pPr>
            <w:r>
              <w:rPr>
                <w:rFonts w:ascii="Times New Roman" w:hAnsi="Times New Roman" w:cs="Times New Roman"/>
                <w:sz w:val="20"/>
                <w:szCs w:val="20"/>
              </w:rPr>
              <w:t xml:space="preserve">38,1% da população ocupada</w:t>
            </w:r>
          </w:p>
        </w:tc>
        <w:tc>
          <w:tcPr>
            <w:tcW w:w="2000" w:type="dxa"/>
          </w:tcPr>
          <w:p>
            <w:pPr>
              <w:spacing w:before="0" w:after="0" w:line="240" w:lineRule="auto"/>
              <w:jc w:val="left"/>
            </w:pPr>
            <w:r>
              <w:rPr>
                <w:rFonts w:ascii="Times New Roman" w:hAnsi="Times New Roman" w:cs="Times New Roman"/>
                <w:sz w:val="20"/>
                <w:szCs w:val="20"/>
              </w:rPr>
              <w:t xml:space="preserve">IBGE (2026a)</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Dependência econômica</w:t>
            </w:r>
          </w:p>
        </w:tc>
        <w:tc>
          <w:tcPr>
            <w:tcW w:w="2900" w:type="dxa"/>
          </w:tcPr>
          <w:p>
            <w:pPr>
              <w:spacing w:before="0" w:after="0" w:line="240" w:lineRule="auto"/>
              <w:jc w:val="left"/>
            </w:pPr>
            <w:r>
              <w:rPr>
                <w:rFonts w:ascii="Times New Roman" w:hAnsi="Times New Roman" w:cs="Times New Roman"/>
                <w:sz w:val="20"/>
                <w:szCs w:val="20"/>
              </w:rPr>
              <w:t xml:space="preserve">Trabalhadores com aplicativos como ocupação principal (2025)</w:t>
            </w:r>
          </w:p>
        </w:tc>
        <w:tc>
          <w:tcPr>
            <w:tcW w:w="2171" w:type="dxa"/>
          </w:tcPr>
          <w:p>
            <w:pPr>
              <w:spacing w:before="0" w:after="0" w:line="240" w:lineRule="auto"/>
              <w:jc w:val="left"/>
            </w:pPr>
            <w:r>
              <w:rPr>
                <w:rFonts w:ascii="Times New Roman" w:hAnsi="Times New Roman" w:cs="Times New Roman"/>
                <w:sz w:val="20"/>
                <w:szCs w:val="20"/>
              </w:rPr>
              <w:t xml:space="preserve">1,8 milhão</w:t>
            </w:r>
          </w:p>
        </w:tc>
        <w:tc>
          <w:tcPr>
            <w:tcW w:w="2000" w:type="dxa"/>
          </w:tcPr>
          <w:p>
            <w:pPr>
              <w:spacing w:before="0" w:after="0" w:line="240" w:lineRule="auto"/>
              <w:jc w:val="left"/>
            </w:pPr>
            <w:r>
              <w:rPr>
                <w:rFonts w:ascii="Times New Roman" w:hAnsi="Times New Roman" w:cs="Times New Roman"/>
                <w:sz w:val="20"/>
                <w:szCs w:val="20"/>
              </w:rPr>
              <w:t xml:space="preserve">IBGE (2026b)</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Dependência do setor público</w:t>
            </w:r>
          </w:p>
        </w:tc>
        <w:tc>
          <w:tcPr>
            <w:tcW w:w="2900" w:type="dxa"/>
          </w:tcPr>
          <w:p>
            <w:pPr>
              <w:spacing w:before="0" w:after="0" w:line="240" w:lineRule="auto"/>
              <w:jc w:val="left"/>
            </w:pPr>
            <w:r>
              <w:rPr>
                <w:rFonts w:ascii="Times New Roman" w:hAnsi="Times New Roman" w:cs="Times New Roman"/>
                <w:sz w:val="20"/>
                <w:szCs w:val="20"/>
              </w:rPr>
              <w:t xml:space="preserve">Gastos com software, nuvem e segurança estrangeiros (2014-2025)</w:t>
            </w:r>
          </w:p>
        </w:tc>
        <w:tc>
          <w:tcPr>
            <w:tcW w:w="2171" w:type="dxa"/>
          </w:tcPr>
          <w:p>
            <w:pPr>
              <w:spacing w:before="0" w:after="0" w:line="240" w:lineRule="auto"/>
              <w:jc w:val="left"/>
            </w:pPr>
            <w:r>
              <w:rPr>
                <w:rFonts w:ascii="Times New Roman" w:hAnsi="Times New Roman" w:cs="Times New Roman"/>
                <w:sz w:val="20"/>
                <w:szCs w:val="20"/>
              </w:rPr>
              <w:t xml:space="preserve">Cerca de R$ 23 bilhões</w:t>
            </w:r>
          </w:p>
        </w:tc>
        <w:tc>
          <w:tcPr>
            <w:tcW w:w="2000" w:type="dxa"/>
          </w:tcPr>
          <w:p>
            <w:pPr>
              <w:spacing w:before="0" w:after="0" w:line="240" w:lineRule="auto"/>
              <w:jc w:val="left"/>
            </w:pPr>
            <w:r>
              <w:rPr>
                <w:rFonts w:ascii="Times New Roman" w:hAnsi="Times New Roman" w:cs="Times New Roman"/>
                <w:sz w:val="20"/>
                <w:szCs w:val="20"/>
              </w:rPr>
              <w:t xml:space="preserve">Belli et al. (2026b, p. 190)</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Base material</w:t>
            </w:r>
          </w:p>
        </w:tc>
        <w:tc>
          <w:tcPr>
            <w:tcW w:w="2900" w:type="dxa"/>
          </w:tcPr>
          <w:p>
            <w:pPr>
              <w:spacing w:before="0" w:after="0" w:line="240" w:lineRule="auto"/>
              <w:jc w:val="left"/>
            </w:pPr>
            <w:r>
              <w:rPr>
                <w:rFonts w:ascii="Times New Roman" w:hAnsi="Times New Roman" w:cs="Times New Roman"/>
                <w:sz w:val="20"/>
                <w:szCs w:val="20"/>
              </w:rPr>
              <w:t xml:space="preserve">Participação de renováveis no atendimento energético</w:t>
            </w:r>
          </w:p>
        </w:tc>
        <w:tc>
          <w:tcPr>
            <w:tcW w:w="2171" w:type="dxa"/>
          </w:tcPr>
          <w:p>
            <w:pPr>
              <w:spacing w:before="0" w:after="0" w:line="240" w:lineRule="auto"/>
              <w:jc w:val="left"/>
            </w:pPr>
            <w:r>
              <w:rPr>
                <w:rFonts w:ascii="Times New Roman" w:hAnsi="Times New Roman" w:cs="Times New Roman"/>
                <w:sz w:val="20"/>
                <w:szCs w:val="20"/>
              </w:rPr>
              <w:t xml:space="preserve">70% a 80%</w:t>
            </w:r>
          </w:p>
        </w:tc>
        <w:tc>
          <w:tcPr>
            <w:tcW w:w="2000" w:type="dxa"/>
          </w:tcPr>
          <w:p>
            <w:pPr>
              <w:spacing w:before="0" w:after="0" w:line="240" w:lineRule="auto"/>
              <w:jc w:val="left"/>
            </w:pPr>
            <w:r>
              <w:rPr>
                <w:rFonts w:ascii="Times New Roman" w:hAnsi="Times New Roman" w:cs="Times New Roman"/>
                <w:sz w:val="20"/>
                <w:szCs w:val="20"/>
              </w:rPr>
              <w:t xml:space="preserve">Belli et al. (2026b, p. 76)</w:t>
            </w:r>
          </w:p>
        </w:tc>
      </w:tr>
      <w:tr>
        <w:trPr>
          <w:cantSplit/>
        </w:trPr>
        <w:tc>
          <w:tcPr>
            <w:tcW w:w="2000" w:type="dxa"/>
          </w:tcPr>
          <w:p>
            <w:pPr>
              <w:spacing w:before="0" w:after="0" w:line="240" w:lineRule="auto"/>
              <w:jc w:val="left"/>
            </w:pPr>
            <w:r>
              <w:rPr>
                <w:rFonts w:ascii="Times New Roman" w:hAnsi="Times New Roman" w:cs="Times New Roman"/>
                <w:b/>
                <w:bCs/>
                <w:sz w:val="20"/>
                <w:szCs w:val="20"/>
              </w:rPr>
              <w:t xml:space="preserve">Base material</w:t>
            </w:r>
          </w:p>
        </w:tc>
        <w:tc>
          <w:tcPr>
            <w:tcW w:w="2900" w:type="dxa"/>
          </w:tcPr>
          <w:p>
            <w:pPr>
              <w:spacing w:before="0" w:after="0" w:line="240" w:lineRule="auto"/>
              <w:jc w:val="left"/>
            </w:pPr>
            <w:r>
              <w:rPr>
                <w:rFonts w:ascii="Times New Roman" w:hAnsi="Times New Roman" w:cs="Times New Roman"/>
                <w:sz w:val="20"/>
                <w:szCs w:val="20"/>
              </w:rPr>
              <w:t xml:space="preserve">Terras raras: reservas e processamento</w:t>
            </w:r>
          </w:p>
        </w:tc>
        <w:tc>
          <w:tcPr>
            <w:tcW w:w="2171" w:type="dxa"/>
          </w:tcPr>
          <w:p>
            <w:pPr>
              <w:spacing w:before="0" w:after="0" w:line="240" w:lineRule="auto"/>
              <w:jc w:val="left"/>
            </w:pPr>
            <w:r>
              <w:rPr>
                <w:rFonts w:ascii="Times New Roman" w:hAnsi="Times New Roman" w:cs="Times New Roman"/>
                <w:sz w:val="20"/>
                <w:szCs w:val="20"/>
              </w:rPr>
              <w:t xml:space="preserve">23% das reservas; 1% do processamento</w:t>
            </w:r>
          </w:p>
        </w:tc>
        <w:tc>
          <w:tcPr>
            <w:tcW w:w="2000" w:type="dxa"/>
          </w:tcPr>
          <w:p>
            <w:pPr>
              <w:spacing w:before="0" w:after="0" w:line="240" w:lineRule="auto"/>
              <w:jc w:val="left"/>
            </w:pPr>
            <w:r>
              <w:rPr>
                <w:rFonts w:ascii="Times New Roman" w:hAnsi="Times New Roman" w:cs="Times New Roman"/>
                <w:sz w:val="20"/>
                <w:szCs w:val="20"/>
              </w:rPr>
              <w:t xml:space="preserve">Belli et al. (2026b, p. 79)</w:t>
            </w:r>
          </w:p>
        </w:tc>
      </w:tr>
    </w:tbl>
    <w:p>
      <w:pPr>
        <w:spacing w:before="60" w:after="240" w:line="240" w:lineRule="auto"/>
      </w:pPr>
      <w:r>
        <w:rPr>
          <w:rFonts w:ascii="Times New Roman" w:hAnsi="Times New Roman" w:cs="Times New Roman"/>
          <w:sz w:val="20"/>
          <w:szCs w:val="20"/>
        </w:rPr>
        <w:t xml:space="preserve">Fonte: elaboração própria, com base nas fontes indicadas.</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4.4 Experiências internacionais de soberania digital</w:t>
      </w:r>
    </w:p>
    <w:p>
      <w:pPr>
        <w:pStyle w:val="Texto"/>
      </w:pPr>
      <w:r>
        <w:rPr>
          <w:rFonts w:ascii="Times New Roman" w:hAnsi="Times New Roman" w:cs="Times New Roman"/>
          <w:sz w:val="24"/>
          <w:szCs w:val="24"/>
        </w:rPr>
        <w:t xml:space="preserve">As experiências internacionais reunidas aqui foram escolhidas porque respondem de maneiras distintas aos problemas examinados: o acesso e a governança dos dados, o controle da infraestrutura de rede e a construção de capacidades. O Quadro 4 sintetiza a comparação, conduzida pelos critérios descritos na metodologia.</w:t>
      </w:r>
    </w:p>
    <w:p>
      <w:pPr>
        <w:pStyle w:val="Texto"/>
      </w:pPr>
      <w:r>
        <w:rPr>
          <w:rFonts w:ascii="Times New Roman" w:hAnsi="Times New Roman" w:cs="Times New Roman"/>
          <w:sz w:val="24"/>
          <w:szCs w:val="24"/>
        </w:rPr>
        <w:t xml:space="preserve">A União Europeia apostou em direitos de acesso e em regras de mercado, e não na propriedade sobre dados. O Regulamento dos Dados obriga os detentores a disponibilizar aos usuários os dados gerados pelo uso de produtos e serviços conexos, gratuitamente e, quando possível, em tempo real, com salvaguardas para segredos comerciais e restrições ao uso desses dados no desenvolvimento de produtos concorrentes (Belli et al., 2026a, p. 24-25). O Regulamento de Governança de Dados disciplinou os serviços de intermediação e a cessão voluntária de dados para fins de interesse geral, o chamado altruísmo de dados (União Europeia, 2022a). Já o Regulamento dos Mercados Digitais impôs aos controladores de acesso designados obrigações de informação sobre publicidade, portabilidade e acesso a dados, voltadas à contestabilidade dos mercados (União Europeia, 2022b, art. 5º, n.os 9-10, e art. 6º, n.os 8-10). Em 2025, a Comissão Europeia apresentou um marco de soberania em nuvem que avalia os provedores segundo oito objetivos, entre eles autonomia estratégica, jurisdição, controle operacional e abertura tecnológica (Belli et al., 2026b, p. 48-50). Belli et al. (2026b, p. 51-52) criticam o marco em dois pontos: ele permite que bons resultados em critérios secundários compensem deficiências centrais e não prevê planos de saída nem diversificação de provedores. Direitos de acesso, como mostra o caso europeu, podem redistribuir parte do valor dos dados sem recorrer à propriedade, mas não produziram, por si mesmos, capacidades produtivas autônomas.</w:t>
      </w:r>
    </w:p>
    <w:p>
      <w:pPr>
        <w:pStyle w:val="Texto"/>
      </w:pPr>
      <w:r>
        <w:rPr>
          <w:rFonts w:ascii="Times New Roman" w:hAnsi="Times New Roman" w:cs="Times New Roman"/>
          <w:sz w:val="24"/>
          <w:szCs w:val="24"/>
        </w:rPr>
        <w:t xml:space="preserve">A China seguiu o caminho oposto, com uma concepção estatal dos dados. Desde 2019, o Partido Comunista reconhece os dados como fator de produção, ao lado de terra, trabalho e capital. O país combina a Lei de Cibersegurança de 2017, a Lei de Segurança de Dados e a Lei de Proteção de Informações Pessoais, ambas de 2021, com política industrial e com plataformas públicas de intercâmbio de dados que operam desde 2015 (Belli et al., 2026b, p. 45-47). Belli et al. (2026b, p. 47) sugerem que as empresas estaduais brasileiras de processamento de dados poderiam cumprir papel semelhante em relação aos dados públicos. O caso chinês exemplifica a articulação entre regulação e política industrial, mas a capacidade obtida vem associada a forte controle estatal sobre a circulação de informações. Para os fins desta pesquisa, ele é, por isso, um contraexemplo: não preserva os direitos dos usuários que o conceito de soberania digital adotado no item 2.4 exige. A crítica de Chander e Le (2015) às exigências de localização de dados reforça esse limite. Armazenar dados no território não assegura, por si, segurança, privacidade ou desenvolvimento, conclusão que Belli et al. (2026b, p. 40) também registram.</w:t>
      </w:r>
    </w:p>
    <w:p>
      <w:pPr>
        <w:pStyle w:val="Texto"/>
      </w:pPr>
      <w:r>
        <w:rPr>
          <w:rFonts w:ascii="Times New Roman" w:hAnsi="Times New Roman" w:cs="Times New Roman"/>
          <w:sz w:val="24"/>
          <w:szCs w:val="24"/>
        </w:rPr>
        <w:t xml:space="preserve">A Rússia levou a concepção estatal ao plano da própria rede. Desde 2015, lei federal exige que os dados pessoais de cidadãos russos sejam armazenados em servidores situados no país, exigência que Chander e Le (2015) incluíram entre os casos de nacionalismo de dados. Em 2019, a Lei Federal nº 90-FZ, conhecida como lei do Runet soberano, alterou as leis de comunicações e de informação para assegurar, segundo seus proponentes, o funcionamento da internet russa em caso de desconexão da rede global (Rússia, 2019). A lei autoriza o órgão regulador, o Roskomnadzor, a assumir a gestão centralizada do tráfego diante de ameaças, submete os pontos de troca com o exterior ao seu controle e obriga os operadores a instalar equipamentos técnicos fornecidos pelo Estado, capazes de inspecionar e filtrar o tráfego e de restringir o acesso a conteúdos proibidos (Clifford Chance, 2019). O caso mostra que a autonomia sobre a infraestrutura pode ser construída sem garantia alguma aos usuários: os mesmos meios que protegeriam a continuidade servem para filtrar, bloquear e vigiar. Como a China, a Rússia é contraexemplo para o conceito de soberania digital adotado no item 2.4, e reforça a conclusão de que localizar dados ou isolar redes não assegura, por si, segurança, privacidade ou desenvolvimento.</w:t>
      </w:r>
    </w:p>
    <w:p>
      <w:pPr>
        <w:pStyle w:val="Texto"/>
      </w:pPr>
      <w:r>
        <w:rPr>
          <w:rFonts w:ascii="Times New Roman" w:hAnsi="Times New Roman" w:cs="Times New Roman"/>
          <w:sz w:val="24"/>
          <w:szCs w:val="24"/>
        </w:rPr>
        <w:t xml:space="preserve">A experiência norte-americana mostra a outra face da dependência. A legislação dos Estados Unidos permite requisitar dados mantidos por empresas do país, onde quer que estejam os servidores, e programas de vigilância estrangeira obrigam os provedores a cooperar com agências de inteligência (Belli et al., 2026b, p. 108-109). Farrell e Newman (2019) descrevem como Estados que controlam nós centrais de redes econômicas e informacionais podem convertê-los em instrumentos de vigilância e de bloqueio. Para os países que dependem desses nós, a soberania digital envolve também a capacidade de reduzir a exposição a decisões externas.</w:t>
      </w:r>
    </w:p>
    <w:p>
      <w:pPr>
        <w:pStyle w:val="Texto"/>
      </w:pPr>
      <w:r>
        <w:rPr>
          <w:rFonts w:ascii="Times New Roman" w:hAnsi="Times New Roman" w:cs="Times New Roman"/>
          <w:sz w:val="24"/>
          <w:szCs w:val="24"/>
        </w:rPr>
        <w:t xml:space="preserve">Dessas experiências extraem-se quatro conclusões para o caso brasileiro. Regimes de acesso e de governança avançaram mais do que regimes de pagamento, e a experiência europeia mostra que podem redistribuir parte do valor dos dados sem recorrer à propriedade. A autonomia obtida à custa dos direitos dos usuários, como na China e na Rússia, não atende ao conceito de soberania digital adotado nesta pesquisa, e a localização forçada de dados ou o isolamento de redes não asseguram, por si, segurança nem privacidade. A dependência de nós centrais controlados externamente expõe o país a decisões alheias, como mostra a experiência norte-americana. E infraestruturas públicas digitais, como o Pix, mostraram-se capacidades viáveis, embora expostas a pressões comerciais. À luz do paradoxo apresentado no item 2.4, as experiências também ilustram seus dois polos: a chinesa e a russa aproximam-se do controle estatal sem garantias, e a norte-americana combina o predomínio de grandes empresas privadas com o acesso estatal aos dados que elas mantêm (Belli et al., 2026b, p. 108-109).</w:t>
      </w:r>
    </w:p>
    <w:p>
      <w:pPr>
        <w:keepNext/>
        <w:spacing w:before="240" w:after="120" w:line="240" w:lineRule="auto"/>
        <w:jc w:val="center"/>
      </w:pPr>
      <w:r>
        <w:rPr>
          <w:rFonts w:ascii="Times New Roman" w:hAnsi="Times New Roman" w:cs="Times New Roman"/>
          <w:b/>
          <w:bCs/>
          <w:sz w:val="22"/>
          <w:szCs w:val="22"/>
        </w:rPr>
        <w:t xml:space="preserve">Quadro 4 – Experiências internacionais: instrumentos, resultados e lições</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700"/>
        <w:gridCol w:w="2600"/>
        <w:gridCol w:w="2400"/>
        <w:gridCol w:w="2371"/>
      </w:tblGrid>
      <w:tr>
        <w:trPr>
          <w:tblHeader/>
          <w:cantSplit/>
        </w:trPr>
        <w:tc>
          <w:tcPr>
            <w:tcW w:w="1700" w:type="dxa"/>
            <w:shd w:val="clear" w:color="auto" w:fill="D9D9D9"/>
          </w:tcPr>
          <w:p>
            <w:pPr>
              <w:spacing w:before="0" w:after="0" w:line="240" w:lineRule="auto"/>
              <w:jc w:val="left"/>
            </w:pPr>
            <w:r>
              <w:rPr>
                <w:rFonts w:ascii="Times New Roman" w:hAnsi="Times New Roman" w:cs="Times New Roman"/>
                <w:b/>
                <w:bCs/>
                <w:sz w:val="20"/>
                <w:szCs w:val="20"/>
              </w:rPr>
              <w:t xml:space="preserve">Experiência</w:t>
            </w:r>
          </w:p>
        </w:tc>
        <w:tc>
          <w:tcPr>
            <w:tcW w:w="2600" w:type="dxa"/>
            <w:shd w:val="clear" w:color="auto" w:fill="D9D9D9"/>
          </w:tcPr>
          <w:p>
            <w:pPr>
              <w:spacing w:before="0" w:after="0" w:line="240" w:lineRule="auto"/>
              <w:jc w:val="left"/>
            </w:pPr>
            <w:r>
              <w:rPr>
                <w:rFonts w:ascii="Times New Roman" w:hAnsi="Times New Roman" w:cs="Times New Roman"/>
                <w:b/>
                <w:bCs/>
                <w:sz w:val="20"/>
                <w:szCs w:val="20"/>
              </w:rPr>
              <w:t xml:space="preserve">Instrumento principal</w:t>
            </w:r>
          </w:p>
        </w:tc>
        <w:tc>
          <w:tcPr>
            <w:tcW w:w="2400" w:type="dxa"/>
            <w:shd w:val="clear" w:color="auto" w:fill="D9D9D9"/>
          </w:tcPr>
          <w:p>
            <w:pPr>
              <w:spacing w:before="0" w:after="0" w:line="240" w:lineRule="auto"/>
              <w:jc w:val="left"/>
            </w:pPr>
            <w:r>
              <w:rPr>
                <w:rFonts w:ascii="Times New Roman" w:hAnsi="Times New Roman" w:cs="Times New Roman"/>
                <w:b/>
                <w:bCs/>
                <w:sz w:val="20"/>
                <w:szCs w:val="20"/>
              </w:rPr>
              <w:t xml:space="preserve">Resultados e limites</w:t>
            </w:r>
          </w:p>
        </w:tc>
        <w:tc>
          <w:tcPr>
            <w:tcW w:w="2371" w:type="dxa"/>
            <w:shd w:val="clear" w:color="auto" w:fill="D9D9D9"/>
          </w:tcPr>
          <w:p>
            <w:pPr>
              <w:spacing w:before="0" w:after="0" w:line="240" w:lineRule="auto"/>
              <w:jc w:val="left"/>
            </w:pPr>
            <w:r>
              <w:rPr>
                <w:rFonts w:ascii="Times New Roman" w:hAnsi="Times New Roman" w:cs="Times New Roman"/>
                <w:b/>
                <w:bCs/>
                <w:sz w:val="20"/>
                <w:szCs w:val="20"/>
              </w:rPr>
              <w:t xml:space="preserve">Lição para o Brasil</w:t>
            </w:r>
          </w:p>
        </w:tc>
      </w:tr>
      <w:tr>
        <w:trPr>
          <w:cantSplit/>
        </w:trPr>
        <w:tc>
          <w:tcPr>
            <w:tcW w:w="1700" w:type="dxa"/>
          </w:tcPr>
          <w:p>
            <w:pPr>
              <w:spacing w:before="0" w:after="0" w:line="240" w:lineRule="auto"/>
              <w:jc w:val="left"/>
            </w:pPr>
            <w:r>
              <w:rPr>
                <w:rFonts w:ascii="Times New Roman" w:hAnsi="Times New Roman" w:cs="Times New Roman"/>
                <w:b/>
                <w:bCs/>
                <w:sz w:val="20"/>
                <w:szCs w:val="20"/>
              </w:rPr>
              <w:t xml:space="preserve">União Europeia</w:t>
            </w:r>
          </w:p>
        </w:tc>
        <w:tc>
          <w:tcPr>
            <w:tcW w:w="2600" w:type="dxa"/>
          </w:tcPr>
          <w:p>
            <w:pPr>
              <w:spacing w:before="0" w:after="0" w:line="240" w:lineRule="auto"/>
              <w:jc w:val="left"/>
            </w:pPr>
            <w:r>
              <w:rPr>
                <w:rFonts w:ascii="Times New Roman" w:hAnsi="Times New Roman" w:cs="Times New Roman"/>
                <w:sz w:val="20"/>
                <w:szCs w:val="20"/>
              </w:rPr>
              <w:t xml:space="preserve">Direitos de acesso (Regulamento dos Dados), intermediação e altruísmo de dados, obrigações a controladores de acesso, marco de soberania em nuvem</w:t>
            </w:r>
          </w:p>
        </w:tc>
        <w:tc>
          <w:tcPr>
            <w:tcW w:w="2400" w:type="dxa"/>
          </w:tcPr>
          <w:p>
            <w:pPr>
              <w:spacing w:before="0" w:after="0" w:line="240" w:lineRule="auto"/>
              <w:jc w:val="left"/>
            </w:pPr>
            <w:r>
              <w:rPr>
                <w:rFonts w:ascii="Times New Roman" w:hAnsi="Times New Roman" w:cs="Times New Roman"/>
                <w:sz w:val="20"/>
                <w:szCs w:val="20"/>
              </w:rPr>
              <w:t xml:space="preserve">Redistribuição de acesso sem propriedade; capacidades produtivas limitadas; marco de nuvem sem planos de saída</w:t>
            </w:r>
          </w:p>
        </w:tc>
        <w:tc>
          <w:tcPr>
            <w:tcW w:w="2371" w:type="dxa"/>
          </w:tcPr>
          <w:p>
            <w:pPr>
              <w:spacing w:before="0" w:after="0" w:line="240" w:lineRule="auto"/>
              <w:jc w:val="left"/>
            </w:pPr>
            <w:r>
              <w:rPr>
                <w:rFonts w:ascii="Times New Roman" w:hAnsi="Times New Roman" w:cs="Times New Roman"/>
                <w:sz w:val="20"/>
                <w:szCs w:val="20"/>
              </w:rPr>
              <w:t xml:space="preserve">Direitos de acesso e critérios de contratação são transponíveis; precisam de política produtiva</w:t>
            </w:r>
          </w:p>
        </w:tc>
      </w:tr>
      <w:tr>
        <w:trPr>
          <w:cantSplit/>
        </w:trPr>
        <w:tc>
          <w:tcPr>
            <w:tcW w:w="1700" w:type="dxa"/>
          </w:tcPr>
          <w:p>
            <w:pPr>
              <w:spacing w:before="0" w:after="0" w:line="240" w:lineRule="auto"/>
              <w:jc w:val="left"/>
            </w:pPr>
            <w:r>
              <w:rPr>
                <w:rFonts w:ascii="Times New Roman" w:hAnsi="Times New Roman" w:cs="Times New Roman"/>
                <w:b/>
                <w:bCs/>
                <w:sz w:val="20"/>
                <w:szCs w:val="20"/>
              </w:rPr>
              <w:t xml:space="preserve">China</w:t>
            </w:r>
          </w:p>
        </w:tc>
        <w:tc>
          <w:tcPr>
            <w:tcW w:w="2600" w:type="dxa"/>
          </w:tcPr>
          <w:p>
            <w:pPr>
              <w:spacing w:before="0" w:after="0" w:line="240" w:lineRule="auto"/>
              <w:jc w:val="left"/>
            </w:pPr>
            <w:r>
              <w:rPr>
                <w:rFonts w:ascii="Times New Roman" w:hAnsi="Times New Roman" w:cs="Times New Roman"/>
                <w:sz w:val="20"/>
                <w:szCs w:val="20"/>
              </w:rPr>
              <w:t xml:space="preserve">Dados como fator de produção; plataformas públicas de intercâmbio; política industrial</w:t>
            </w:r>
          </w:p>
        </w:tc>
        <w:tc>
          <w:tcPr>
            <w:tcW w:w="2400" w:type="dxa"/>
          </w:tcPr>
          <w:p>
            <w:pPr>
              <w:spacing w:before="0" w:after="0" w:line="240" w:lineRule="auto"/>
              <w:jc w:val="left"/>
            </w:pPr>
            <w:r>
              <w:rPr>
                <w:rFonts w:ascii="Times New Roman" w:hAnsi="Times New Roman" w:cs="Times New Roman"/>
                <w:sz w:val="20"/>
                <w:szCs w:val="20"/>
              </w:rPr>
              <w:t xml:space="preserve">Capacidade elevada com forte controle estatal</w:t>
            </w:r>
          </w:p>
        </w:tc>
        <w:tc>
          <w:tcPr>
            <w:tcW w:w="2371" w:type="dxa"/>
          </w:tcPr>
          <w:p>
            <w:pPr>
              <w:spacing w:before="0" w:after="0" w:line="240" w:lineRule="auto"/>
              <w:jc w:val="left"/>
            </w:pPr>
            <w:r>
              <w:rPr>
                <w:rFonts w:ascii="Times New Roman" w:hAnsi="Times New Roman" w:cs="Times New Roman"/>
                <w:sz w:val="20"/>
                <w:szCs w:val="20"/>
              </w:rPr>
              <w:t xml:space="preserve">Articulação entre regulação e fomento; contraexemplo quanto a direitos</w:t>
            </w:r>
          </w:p>
        </w:tc>
      </w:tr>
      <w:tr>
        <w:trPr>
          <w:cantSplit/>
        </w:trPr>
        <w:tc>
          <w:tcPr>
            <w:tcW w:w="1700" w:type="dxa"/>
          </w:tcPr>
          <w:p>
            <w:pPr>
              <w:spacing w:before="0" w:after="0" w:line="240" w:lineRule="auto"/>
              <w:jc w:val="left"/>
            </w:pPr>
            <w:r>
              <w:rPr>
                <w:rFonts w:ascii="Times New Roman" w:hAnsi="Times New Roman" w:cs="Times New Roman"/>
                <w:b/>
                <w:bCs/>
                <w:sz w:val="20"/>
                <w:szCs w:val="20"/>
              </w:rPr>
              <w:t xml:space="preserve">Rússia</w:t>
            </w:r>
          </w:p>
        </w:tc>
        <w:tc>
          <w:tcPr>
            <w:tcW w:w="2600" w:type="dxa"/>
          </w:tcPr>
          <w:p>
            <w:pPr>
              <w:spacing w:before="0" w:after="0" w:line="240" w:lineRule="auto"/>
              <w:jc w:val="left"/>
            </w:pPr>
            <w:r>
              <w:rPr>
                <w:rFonts w:ascii="Times New Roman" w:hAnsi="Times New Roman" w:cs="Times New Roman"/>
                <w:sz w:val="20"/>
                <w:szCs w:val="20"/>
              </w:rPr>
              <w:t xml:space="preserve">Localização obrigatória de dados pessoais; lei do Runet soberano (2019), com gestão centralizada do tráfego e equipamentos estatais de filtragem</w:t>
            </w:r>
          </w:p>
        </w:tc>
        <w:tc>
          <w:tcPr>
            <w:tcW w:w="2400" w:type="dxa"/>
          </w:tcPr>
          <w:p>
            <w:pPr>
              <w:spacing w:before="0" w:after="0" w:line="240" w:lineRule="auto"/>
              <w:jc w:val="left"/>
            </w:pPr>
            <w:r>
              <w:rPr>
                <w:rFonts w:ascii="Times New Roman" w:hAnsi="Times New Roman" w:cs="Times New Roman"/>
                <w:sz w:val="20"/>
                <w:szCs w:val="20"/>
              </w:rPr>
              <w:t xml:space="preserve">Controle elevado da infraestrutura de rede, usado também para filtrar e bloquear</w:t>
            </w:r>
          </w:p>
        </w:tc>
        <w:tc>
          <w:tcPr>
            <w:tcW w:w="2371" w:type="dxa"/>
          </w:tcPr>
          <w:p>
            <w:pPr>
              <w:spacing w:before="0" w:after="0" w:line="240" w:lineRule="auto"/>
              <w:jc w:val="left"/>
            </w:pPr>
            <w:r>
              <w:rPr>
                <w:rFonts w:ascii="Times New Roman" w:hAnsi="Times New Roman" w:cs="Times New Roman"/>
                <w:sz w:val="20"/>
                <w:szCs w:val="20"/>
              </w:rPr>
              <w:t xml:space="preserve">Isolar redes e localizar dados não garante direitos; contraexemplo quanto a direitos</w:t>
            </w:r>
          </w:p>
        </w:tc>
      </w:tr>
      <w:tr>
        <w:trPr>
          <w:cantSplit/>
        </w:trPr>
        <w:tc>
          <w:tcPr>
            <w:tcW w:w="1700" w:type="dxa"/>
          </w:tcPr>
          <w:p>
            <w:pPr>
              <w:spacing w:before="0" w:after="0" w:line="240" w:lineRule="auto"/>
              <w:jc w:val="left"/>
            </w:pPr>
            <w:r>
              <w:rPr>
                <w:rFonts w:ascii="Times New Roman" w:hAnsi="Times New Roman" w:cs="Times New Roman"/>
                <w:b/>
                <w:bCs/>
                <w:sz w:val="20"/>
                <w:szCs w:val="20"/>
              </w:rPr>
              <w:t xml:space="preserve">Estados Unidos</w:t>
            </w:r>
          </w:p>
        </w:tc>
        <w:tc>
          <w:tcPr>
            <w:tcW w:w="2600" w:type="dxa"/>
          </w:tcPr>
          <w:p>
            <w:pPr>
              <w:spacing w:before="0" w:after="0" w:line="240" w:lineRule="auto"/>
              <w:jc w:val="left"/>
            </w:pPr>
            <w:r>
              <w:rPr>
                <w:rFonts w:ascii="Times New Roman" w:hAnsi="Times New Roman" w:cs="Times New Roman"/>
                <w:sz w:val="20"/>
                <w:szCs w:val="20"/>
              </w:rPr>
              <w:t xml:space="preserve">Acesso extraterritorial a dados; investigações comerciais</w:t>
            </w:r>
          </w:p>
        </w:tc>
        <w:tc>
          <w:tcPr>
            <w:tcW w:w="2400" w:type="dxa"/>
          </w:tcPr>
          <w:p>
            <w:pPr>
              <w:spacing w:before="0" w:after="0" w:line="240" w:lineRule="auto"/>
              <w:jc w:val="left"/>
            </w:pPr>
            <w:r>
              <w:rPr>
                <w:rFonts w:ascii="Times New Roman" w:hAnsi="Times New Roman" w:cs="Times New Roman"/>
                <w:sz w:val="20"/>
                <w:szCs w:val="20"/>
              </w:rPr>
              <w:t xml:space="preserve">Uso coercitivo de interdependências</w:t>
            </w:r>
          </w:p>
        </w:tc>
        <w:tc>
          <w:tcPr>
            <w:tcW w:w="2371" w:type="dxa"/>
          </w:tcPr>
          <w:p>
            <w:pPr>
              <w:spacing w:before="0" w:after="0" w:line="240" w:lineRule="auto"/>
              <w:jc w:val="left"/>
            </w:pPr>
            <w:r>
              <w:rPr>
                <w:rFonts w:ascii="Times New Roman" w:hAnsi="Times New Roman" w:cs="Times New Roman"/>
                <w:sz w:val="20"/>
                <w:szCs w:val="20"/>
              </w:rPr>
              <w:t xml:space="preserve">Reduzir exposição a nós centrais controlados externamente</w:t>
            </w:r>
          </w:p>
        </w:tc>
      </w:tr>
    </w:tbl>
    <w:p>
      <w:pPr>
        <w:spacing w:before="60" w:after="240" w:line="240" w:lineRule="auto"/>
      </w:pPr>
      <w:r>
        <w:rPr>
          <w:rFonts w:ascii="Times New Roman" w:hAnsi="Times New Roman" w:cs="Times New Roman"/>
          <w:sz w:val="20"/>
          <w:szCs w:val="20"/>
        </w:rPr>
        <w:t xml:space="preserve">Fonte: elaboração própria, com base nas fontes citadas no item 4.4.</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4.5 Modelos de repartição: comparação, limites e modelo proposto</w:t>
      </w:r>
    </w:p>
    <w:p>
      <w:pPr>
        <w:pStyle w:val="Texto"/>
      </w:pPr>
      <w:r>
        <w:rPr>
          <w:rFonts w:ascii="Times New Roman" w:hAnsi="Times New Roman" w:cs="Times New Roman"/>
          <w:sz w:val="24"/>
          <w:szCs w:val="24"/>
        </w:rPr>
        <w:t xml:space="preserve">Três modelos de repartição foram comparados pelos critérios descritos na metodologia. A análise retoma a distinção do item 2.6: o que define uma obrigação como tributária ou não tributária são seu fundamento e sua estrutura, e não a denominação nem a destinação das receitas (Brasil, 1966, arts. 3º e 4º). Esta pesquisa não propõe tributos; examina formas de compensação e de governança, e a distinção serve apenas para delimitar as condições em que a compensação se sustenta. Os modelos são apresentados do mais distante ao mais próximo da proposta desta pesquisa, que combina o segundo e o terceiro. O Quadro 5 sintetiza a comparação.</w:t>
      </w:r>
    </w:p>
    <w:p>
      <w:pPr>
        <w:pStyle w:val="Texto"/>
      </w:pPr>
      <w:r>
        <w:rPr>
          <w:rFonts w:ascii="Times New Roman" w:hAnsi="Times New Roman" w:cs="Times New Roman"/>
          <w:sz w:val="24"/>
          <w:szCs w:val="24"/>
        </w:rPr>
        <w:t xml:space="preserve">O primeiro modelo, o pagamento individual aos usuários, é o mais intuitivo e, ao mesmo tempo, o mais distante de uma implementação consistente. Orienta-se pela concepção usuário-cêntrica dos dados como trabalho, discutida no item 2.5, e corresponde à proposta de Arrieta-Ibarra et al. (2018) de remunerar os usuários com base em medidas do valor marginal de suas contribuições. Também aparece em proposições legislativas brasileiras. O PL nº 4.976/2024 prevê pagamentos periódicos proporcionais ao lucro das plataformas; o PLP nº 234/2023 atribui aos titulares propriedade plena sobre seus dados e uma parcela das receitas de monetização; e o PLP nº 157/2025 destinaria metade da arrecadação aos usuários (Belli et al., 2026a, p. 23 e 37-40). A vantagem do modelo é a visibilidade: o retorno chega a cada usuário de forma identificável. O problema é que ele pressupõe uma capacidade que a literatura examinada não considera estabelecida, a de medir quanto cada registro contribui para o resultado de uma atividade. Farronato (2026) aponta que o caráter recombinante do aprendizado em sistemas de inteligência artificial dificulta rastrear essas contribuições marginais. Por isso, esta pesquisa trata o pagamento individual como horizonte teórico, cuja viabilidade dependeria de avanços na mensuração que ainda precisariam ser demonstrados.</w:t>
      </w:r>
    </w:p>
    <w:p>
      <w:pPr>
        <w:pStyle w:val="Texto"/>
      </w:pPr>
      <w:r>
        <w:rPr>
          <w:rFonts w:ascii="Times New Roman" w:hAnsi="Times New Roman" w:cs="Times New Roman"/>
          <w:sz w:val="24"/>
          <w:szCs w:val="24"/>
        </w:rPr>
        <w:t xml:space="preserve">Ainda que a mensuração se tornasse possível, outros limites persistiriam. Como visto no item 4.1, o valor marginal dos dados de cada indivíduo tende a ser pequeno diante do benefício da agregação, e os pagamentos resultantes seriam de baixo valor. Belli et al. (2026a, p. 21-28) registram que propostas de propriedade sobre dados pessoais têm sido rejeitadas por razões como a alienabilidade limitada desses dados e a incapacidade dos indivíduos de avaliar os riscos das transferências. Registram também que atribuir um preço aos dados pessoais tende a preservar a posição das plataformas dominantes e a estimular a mercantilização. A crítica de Viljoen (2021) às soluções voltadas ao ganho financeiro individual vai na mesma direção, e a reciprocidade parcial discutida no item 4.1 estreita a base da reivindicação. O modelo fica, assim, como referência para pesquisas futuras, fora da proposta institucional.</w:t>
      </w:r>
    </w:p>
    <w:p>
      <w:pPr>
        <w:pStyle w:val="Texto"/>
      </w:pPr>
      <w:r>
        <w:rPr>
          <w:rFonts w:ascii="Times New Roman" w:hAnsi="Times New Roman" w:cs="Times New Roman"/>
          <w:sz w:val="24"/>
          <w:szCs w:val="24"/>
        </w:rPr>
        <w:t xml:space="preserve">O segundo modelo retoma a hipótese em sua formulação original, a de uma compensação financeira não tributária análoga aos royalties e à CFEM, e a aplica ao único objeto que a sustenta. No julgamento do RE nº 228.800, o relator afastou a natureza tributária da CFEM com dois argumentos: a competência para instituí-la está em dispositivo constitucional que trata dos bens da União, e seu fundamento é a exploração de recursos que integram o patrimônio da União (Brasil, 2001; Brasil, 1988, art. 20, IX e § 1º). Uma compensação não tributária pressupõe, portanto, titularidade pública previamente estabelecida. Sobre bases privadas formadas por registros de usuários, essa titularidade não existe, e instituí-la sobre dados pessoais colidiria com o direito fundamental à proteção de dados. É outra a situação das bases de dados públicos, produzidas por órgãos e entidades estatais, como as estatísticas oficiais e os registros administrativos. Belli et al. (2026a, p. 3-4) observam que dados abertos de alta qualidade, produzidos a elevado custo por instituições como o IBGE, alimentam o treinamento de sistemas de inteligência artificial e permanecem à margem da tributação. Nesses casos, o Estado é o controlador e pode condicionar o acesso comercial em larga escala a uma compensação que se aproximaria de uma receita patrimonial, sem afetar o regime dos dados pessoais.</w:t>
      </w:r>
    </w:p>
    <w:p>
      <w:pPr>
        <w:pStyle w:val="Texto"/>
      </w:pPr>
      <w:r>
        <w:rPr>
          <w:rFonts w:ascii="Times New Roman" w:hAnsi="Times New Roman" w:cs="Times New Roman"/>
          <w:sz w:val="24"/>
          <w:szCs w:val="24"/>
        </w:rPr>
        <w:t xml:space="preserve">O modelo esbarra em dois limites jurídicos e em um econômico. O primeiro limite jurídico é a gratuidade do serviço de busca e fornecimento da informação pública (Brasil, 2011, art. 12). A compensação não poderia recair sobre o acesso à informação em si. Teria de incidir sobre serviços específicos, como interfaces de acesso em larga escala para fins comerciais ou o licenciamento de bases para usos determinados, entre eles o treinamento de sistemas de inteligência artificial. O segundo é a vedação, prevista na LGPD, à transferência de dados pessoais constantes de bases do poder público a entidades privadas, salvo nas hipóteses que a própria lei enumera (Brasil, 2018, art. 26, § 1º). Por isso, a compensação alcançaria sobretudo dados anonimizados, agregados ou estatísticos. O limite econômico é de escala. Com os dados disponíveis, não é possível estimar o volume dessas receitas, e não seria prudente que o financiamento das capacidades digitais dependesse delas.</w:t>
      </w:r>
    </w:p>
    <w:p>
      <w:pPr>
        <w:pStyle w:val="Texto"/>
      </w:pPr>
      <w:r>
        <w:rPr>
          <w:rFonts w:ascii="Times New Roman" w:hAnsi="Times New Roman" w:cs="Times New Roman"/>
          <w:sz w:val="24"/>
          <w:szCs w:val="24"/>
        </w:rPr>
        <w:t xml:space="preserve">O segundo modelo admite, porém, uma extensão, e é nela que está o núcleo da hipótese desta pesquisa. Se os recursos informacionais formados pela agregação de registros de usuários situados no Brasil forem reconhecidos como patrimônio coletivo de uso comum, a compensação por seu aproveitamento econômico deixa de depender de titularidade estatal e passa a apoiar-se no princípio do usuário-pagador (Brasil, 1981, art. 4º, VII; Brasil, 2008). O paralelo impõe três condições. A primeira é normativa. Como discutido no item 4.1, os arts. 216, 219 e 225, § 4º, da Constituição mostram que a categoria é compatível com o ordenamento, mas a compensação exige reconhecimento expresso, equivalente ao que o art. 225 confere ao meio ambiente. A segunda é material: a compensação precisa corresponder a custos identificáveis, e não ao consumo de um recurso que não se esgota. Como se viu no item 2.6, esses custos são a apropriação do valor de agregação e os riscos e assimetrias que a retenção cria, e só o segundo tem paralelo direto no custo ambiental. A terceira condição é de proporcionalidade. Ao julgar a compensação ambiental, o Supremo Tribunal Federal afastou o piso de meio por cento previsto na lei e vinculou o valor ao impacto do empreendimento (Brasil, 2008). Uma compensação pelo uso de recursos informacionais teria, do mesmo modo, de ser calibrada pelo aproveitamento efetivamente medido, e não por percentuais fixados sem base.</w:t>
      </w:r>
    </w:p>
    <w:p>
      <w:pPr>
        <w:pStyle w:val="Texto"/>
      </w:pPr>
      <w:r>
        <w:rPr>
          <w:rFonts w:ascii="Times New Roman" w:hAnsi="Times New Roman" w:cs="Times New Roman"/>
          <w:sz w:val="24"/>
          <w:szCs w:val="24"/>
        </w:rPr>
        <w:t xml:space="preserve">Essa terceira condição reabre o problema da mensuração que levou a pesquisa a afastar o pagamento individual. A tensão existe, mas os dois problemas não são idênticos. O pagamento individual exigiria medir a contribuição marginal de cada registro para o resultado da atividade, o que a literatura examinada não considera possível (Farronato, 2026). A compensação coletiva exige medir o aproveitamento de cada controlador, isto é, o que ele obtém do conjunto de registros que mantém. É uma medida agregada, como a do impacto ambiental, que se avalia pelo empreendimento, e não pela perda de cada espécie afetada. O número de titulares cujos registros são armazenados mede volume, e não aproveitamento. Por isso, no modelo proposto, ele serve como base de cálculo, mas o valor devido por titular varia conforme o tipo de uso e deve ser calibrado pelas receitas que cada controlador atribui ao Brasil, informação que o dever de divulgação da primeira etapa passa a exigir. Para os controladores que monetizam interações, a calibração poderá apoiar-se nas receitas publicitárias informadas durante a transição. Para os que armazenam dados em suas próprias operações, como bancos e varejistas, o volume continua a ser um indicador fraco do aproveitamento, e é nesse ponto que a proporcionalidade do modelo fica mais vulnerável.</w:t>
      </w:r>
    </w:p>
    <w:p>
      <w:pPr>
        <w:pStyle w:val="Texto"/>
      </w:pPr>
      <w:r>
        <w:rPr>
          <w:rFonts w:ascii="Times New Roman" w:hAnsi="Times New Roman" w:cs="Times New Roman"/>
          <w:sz w:val="24"/>
          <w:szCs w:val="24"/>
        </w:rPr>
        <w:t xml:space="preserve">O risco tributário também permanece. Sem o reconhecimento normativo, uma cobrança compulsória calculada pelo número de titulares e vinculada a uma política setorial tem a estrutura de uma contribuição de intervenção no domínio econômico, e é provável que os tribunais a qualifiquem assim. Com o reconhecimento, a qualificação não tributária torna-se defensável, mas não fica assegurada, porque o precedente ambiental validou a compensação sem decidir expressamente sua natureza (Brasil, 2008).</w:t>
      </w:r>
    </w:p>
    <w:p>
      <w:pPr>
        <w:pStyle w:val="Texto"/>
      </w:pPr>
      <w:r>
        <w:rPr>
          <w:rFonts w:ascii="Times New Roman" w:hAnsi="Times New Roman" w:cs="Times New Roman"/>
          <w:sz w:val="24"/>
          <w:szCs w:val="24"/>
        </w:rPr>
        <w:t xml:space="preserve">O terceiro modelo dispensa o pagamento e reúne regimes de governança coletiva e de acesso. Incluem-se aí os direitos de acesso do Regulamento europeu dos Dados, o altruísmo de dados e os fundos fiduciários de dados constituídos de baixo para cima, nos quais os titulares agregam direitos e delegam sua gestão a fiduciários (Delacroix; Lawrence, 2019). No Brasil, esse modelo poderia apoiar-se na portabilidade (Brasil, 2018, art. 18, V), na defesa coletiva prevista na LGPD e na competência da autoridade nacional para definir padrões de interoperabilidade e portabilidade (Brasil, 2018, arts. 22 e 40). É o modelo mais aderente à dimensão coletiva identificada no item 4.1 e está menos exposto a retaliações do que os tributos sobre receitas. Em contrapartida, não gera receitas e depende de capacidade institucional para evitar a captura.</w:t>
      </w:r>
    </w:p>
    <w:p>
      <w:pPr>
        <w:pStyle w:val="Texto"/>
      </w:pPr>
      <w:r>
        <w:rPr>
          <w:rFonts w:ascii="Times New Roman" w:hAnsi="Times New Roman" w:cs="Times New Roman"/>
          <w:sz w:val="24"/>
          <w:szCs w:val="24"/>
        </w:rPr>
        <w:t xml:space="preserve">O modelo proposto combina o segundo e o terceiro. No início, a compensação financeira compulsória, isto é, os royalties em sentido estrito, fica restrita ao uso comercial em larga escala de bases de dados públicos. Nas bases privadas, a participação coletiva assume primeiro a forma de governança, de acesso e de transparência; a cobrança só se torna obrigatória depois da transição, quando houver dados para calibrá-la. Da concepção dado-cêntrica, o modelo adota a unidade de análise, pois a compensação e a governança recaem sobre as bases e os recursos informacionais, e não sobre cada usuário. Não acolhe, porém, a conclusão distributiva dessa concepção, segundo a qual os registros seriam subproduto apropriável por quem observa os usuários. Essa combinação só cumpre a finalidade discutida no item 2.4 se vier acompanhada de exigências sobre a estrutura dos mercados em que os recursos informacionais são explorados, porque, como mostrou a experiência europeia, portabilidade e acesso podem existir formalmente sem alterar a concentração do controle. Da análise decorrem quatro exigências: o mercado deve ser distribuído, justo e transparente, e o regime, rígido quanto aos limites do tratamento.</w:t>
      </w:r>
    </w:p>
    <w:p>
      <w:pPr>
        <w:pStyle w:val="Texto"/>
      </w:pPr>
      <w:r>
        <w:rPr>
          <w:rFonts w:ascii="Times New Roman" w:hAnsi="Times New Roman" w:cs="Times New Roman"/>
          <w:sz w:val="24"/>
          <w:szCs w:val="24"/>
        </w:rPr>
        <w:t xml:space="preserve">Um mercado é distribuído quando nenhuma atividade relevante depende de um único fornecedor sem alternativa de substituição. A exigência se mede pela possibilidade de trocar de fornecedor, e não pela nacionalidade das empresas, em coerência com a distinção entre dependência e origem estrangeira estabelecida no item 2.4. Seus instrumentos são a interoperabilidade e a portabilidade; a remoção das barreiras à mudança de fornecedor identificadas no mercado britânico, como as cobranças pela transferência de dados (CMA, 2025, p. 5); as exigências de diversificação e de planos de saída que Belli et al. (2026b, p. 52-53) apontam como ausentes do marco europeu; e as compras públicas orientadas pela Avaliação de Autonomia Tecnológica (Belli et al., 2026b, p. 212-215). Benefícios públicos também podem ser condicionados a contrapartidas não pecuniárias, como previa o Redata ao exigir a disponibilização de parte da capacidade de processamento ao mercado interno ou investimentos em pesquisa e desenvolvimento (Brasil, 2025c; Lefosse, 2025). As metas correspondentes são de distribuição: limites à participação de um único provedor nas cargas críticas do Estado, proporção de serviços essenciais com alternativa de fornecedor testada e presença de capacidades nacionais nos segmentos críticos identificados no diagnóstico. Seus valores dependem das linhas de base previstas no item 4.7. O objetivo não é excluir plataformas estrangeiras, mas ampliar alternativas nacionais, interoperabilidade e redundância, de modo que a falha ou a decisão de poucas empresas não paralise atividades econômicas essenciais. Empresas nacionais de tecnologia e infraestruturas públicas como o Pix, o Serpro e a Dataprev têm, nesse desenho, importância estratégica.</w:t>
      </w:r>
    </w:p>
    <w:p>
      <w:pPr>
        <w:pStyle w:val="Texto"/>
      </w:pPr>
      <w:r>
        <w:rPr>
          <w:rFonts w:ascii="Times New Roman" w:hAnsi="Times New Roman" w:cs="Times New Roman"/>
          <w:sz w:val="24"/>
          <w:szCs w:val="24"/>
        </w:rPr>
        <w:t xml:space="preserve">Um mercado justo exige condições de acesso não discriminatórias aos componentes que funcionam como passagem obrigatória para outros agentes. Componentes públicos padronizados exigem regras de acesso não discriminatório, governança de dados e supervisão independente (Belli et al., 2026b, p. 99-100). O mesmo vale para as grandes plataformas privadas, que fixam unilateralmente tarifas, alcance de publicações, acesso aos consumidores e regras de permanência de trabalhadores e comerciantes, e às quais o Regulamento europeu dos Mercados Digitais já impõe obrigações de informação sobre publicidade, portabilidade e acesso a dados (União Europeia, 2022b, art. 5º, n.os 9-10, e art. 6º, n.os 8-10). No Brasil, o PL nº 4.675/2025, em tramitação na Câmara dos Deputados, propõe que o Conselho Administrativo de Defesa Econômica designe agentes econômicos de relevância sistêmica em mercados digitais, sujeitos a obrigações de transparência sobre termos de uso e preços e à vedação de práticas como a autopreferência (Brasil, 2025e). A transparência completa o arranjo, porque a publicação periódica de dados sobre a aplicação dos recursos e seus resultados permite o controle social e externo (Belli et al., 2026b, p. 217).</w:t>
      </w:r>
    </w:p>
    <w:p>
      <w:pPr>
        <w:pStyle w:val="Texto"/>
      </w:pPr>
      <w:r>
        <w:rPr>
          <w:rFonts w:ascii="Times New Roman" w:hAnsi="Times New Roman" w:cs="Times New Roman"/>
          <w:sz w:val="24"/>
          <w:szCs w:val="24"/>
        </w:rPr>
        <w:t xml:space="preserve">Um regime rígido, por fim, impede que a compensação funcione como licença. A advertência de que pagar pela extração pode legitimá-la, discutida no item 2.6, é incorporada ao desenho: a compensação incide apenas sobre tratamentos que a lei já admite, não autoriza nenhum tratamento adicional e não substitui os limites de coleta. Sua exigência vem acompanhada de quatro obrigações verificáveis. A primeira é a minimização, com prazos máximos de retenção por categoria de registro, em linha com o princípio da necessidade e com o dever de eliminação ao término do tratamento (Brasil, 2018, arts. 6º, III, e 16). A segunda é a rastreabilidade das transferências internacionais, com registro dos destinos, das bases legais e das categorias de dados transferidos. A terceira é a rastreabilidade do cruzamento de bases, com registro das combinações realizadas e de suas finalidades. A quarta é a submissão integral do processamento à auditoria do órgão de governança descrito no item 4.6. O descumprimento não se resolve com pagamento maior: sujeita o controlador às sanções da LGPD e a medidas de limitação do tratamento. Transferência internacional e cruzamento de bases entram, além disso, como critérios de graduação do valor devido, porque ampliam os riscos descritos no item 2.7.</w:t>
      </w:r>
    </w:p>
    <w:p>
      <w:pPr>
        <w:pStyle w:val="Texto"/>
      </w:pPr>
      <w:r>
        <w:rPr>
          <w:rFonts w:ascii="Times New Roman" w:hAnsi="Times New Roman" w:cs="Times New Roman"/>
          <w:sz w:val="24"/>
          <w:szCs w:val="24"/>
        </w:rPr>
        <w:t xml:space="preserve">O modelo é implantado em três etapas. A primeira põe em vigor a compensação pelo uso comercial de bases públicas, cujas receitas cabem ao poder público, e as regulações de governança coletiva, de acesso e de estrutura de mercado descritas acima. Entre essas regulações está um dever de divulgação dirigido aos agentes de maior porte. Eles passariam a informar periodicamente o volume e as categorias de registros de titulares situados no Brasil que coletam e armazenam, o tempo de retenção, as receitas que atribuem ao país e o método dessa atribuição, sua participação na prestação de serviços a cargas críticas do Estado e as condições que oferecem para portabilidade e migração. O critério territorial da LGPD (Brasil, 2018, art. 3º, § 1º) permite delimitar esses registros. O dever responde à lacuna de mensuração identificada nos itens 2.3 e 4.3, que nem as estatísticas oficiais nem os relatórios das empresas resolvem. A governança exige, ainda, transparência integral do processamento perante o órgão de governança descrito no item 4.6, aqui denominado Conselho Nacional de Governança dos Recursos Informacionais (CONGRI). Essa transparência abrange finalidades, categorias de dados, critérios das decisões automatizadas e fluxos de transferência. A LGPD já consagra o princípio da transparência, ressalvados os segredos comercial e industrial, e autoriza a autoridade nacional a realizar auditoria quando informações sobre decisões automatizadas são negadas com base nesses segredos (Brasil, 2018, arts. 6º, VI, e 20, §§ 1º e 2º). O modelo estende essa lógica: o segredo comercial limita a divulgação ao público, que seria feita de forma agregada, mas não o acesso do CONGRI.</w:t>
      </w:r>
    </w:p>
    <w:p>
      <w:pPr>
        <w:pStyle w:val="Texto"/>
      </w:pPr>
      <w:r>
        <w:rPr>
          <w:rFonts w:ascii="Times New Roman" w:hAnsi="Times New Roman" w:cs="Times New Roman"/>
          <w:sz w:val="24"/>
          <w:szCs w:val="24"/>
        </w:rPr>
        <w:t xml:space="preserve">A segunda etapa é um período de transição de dois anos. O prazo permite reunir pelo menos dois ciclos anuais de divulgação e, com eles, uma primeira série comparável, e coincide com a etapa de diagnóstico sugerida no item 4.7. Nesse período, a fiscalização é mais rigorosa, porque as primeiras divulgações definem as bases de cálculo da etapa seguinte e porque a proteção dos usuários depende de que os dados informados sejam verificáveis. Os dados divulgados são analisados em mesas de diálogo abertas, organizadas por categorias da sociedade: usuários e entidades de defesa de seus direitos, trabalhadores, comunidade científica e tecnológica, empresas de diferentes portes e poder público. O formato segue a diretriz do Marco Civil da Internet de estabelecer mecanismos de governança multiparticipativa, transparente, colaborativa e democrática (Brasil, 2014, art. 24, I). Tem, além disso, precedente institucional no Comitê Gestor da Internet no Brasil, que reúne representantes do governo, do setor empresarial, do terceiro setor e da comunidade científica e tecnológica (Brasil, 2003).</w:t>
      </w:r>
    </w:p>
    <w:p>
      <w:pPr>
        <w:pStyle w:val="Texto"/>
      </w:pPr>
      <w:r>
        <w:rPr>
          <w:rFonts w:ascii="Times New Roman" w:hAnsi="Times New Roman" w:cs="Times New Roman"/>
          <w:sz w:val="24"/>
          <w:szCs w:val="24"/>
        </w:rPr>
        <w:t xml:space="preserve">A terceira etapa torna obrigatória a cobrança sobre as bases privadas. Depois que o CONGRI analisa os dados da transição e as mesas de diálogo os discutem, a compensação passa a ser exigida de todos os controladores que coletam e armazenam registros de usuários situados no Brasil, e não apenas dos que monetizam suas interações. O fato que a desencadeia é o armazenamento, tomado como indicador verificável do aproveitamento pelas razões expostas no item 4.1, e sua base é o número de titulares cujos registros são mantidos a cada ano. Dois agentes ficam fora da cobrança. Os operadores que apenas armazenam dados em nome de controladores não são cobrados, para que o mesmo registro não seja contado duas vezes; o poder público também não, por ser ele próprio o administrador do patrimônio coletivo.</w:t>
      </w:r>
    </w:p>
    <w:p>
      <w:pPr>
        <w:pStyle w:val="Texto"/>
      </w:pPr>
      <w:r>
        <w:rPr>
          <w:rFonts w:ascii="Times New Roman" w:hAnsi="Times New Roman" w:cs="Times New Roman"/>
          <w:sz w:val="24"/>
          <w:szCs w:val="24"/>
        </w:rPr>
        <w:t xml:space="preserve">Os valores variam em três dimensões. A primeira é o porte, em linha com a recomendação, feita para a tributação de dados, de limitar o ônus às empresas de escala massiva e não onerar empresas menores e nacionais que cumprem a legislação (Belli et al., 2026a, p. 62 e 72). A faixa superior poderia aproveitar critérios de relevância sistêmica como os do PL nº 4.675/2025 (Brasil, 2025e), e um número mínimo de titulares excluiria os pequenos controladores. A segunda dimensão é o tipo de uso, segundo os grupos do item 2.3, e é ela que aproxima o valor devido do aproveitamento. Quem monetiza interações dos usuários, como na publicidade segmentada, arca com os valores mais altos; quem oferece produtos informacionais ocupa posição intermediária; e quem armazena dados para suas próprias operações, como bancos, varejistas e operadoras, paga valores menores. Dentro de cada grupo, o valor por titular seria calibrado pelas receitas que os controladores atribuem ao país, informadas na primeira etapa. A terceira dimensão é o risco: a transferência internacional de registros e seu cruzamento com outras bases elevam o valor devido, porque ampliam a exposição de titulares e terceiros. Os recursos destinam-se ao desenvolvimento da soberania digital e da independência computacional, entendida como redução da dependência computacional, e não como autossuficiência. A natureza não tributária da cobrança é pretendida, e não assegurada. Depende do reconhecimento dos recursos informacionais como patrimônio coletivo, discutido acima, e, mesmo com ele, do juízo dos tribunais; sem ele, a obrigação compulsória seria tributo (Brasil, 1966, art. 3º).</w:t>
      </w:r>
    </w:p>
    <w:p>
      <w:pPr>
        <w:pStyle w:val="Texto"/>
      </w:pPr>
      <w:r>
        <w:rPr>
          <w:rFonts w:ascii="Times New Roman" w:hAnsi="Times New Roman" w:cs="Times New Roman"/>
          <w:sz w:val="24"/>
          <w:szCs w:val="24"/>
        </w:rPr>
        <w:t xml:space="preserve">Tomar o armazenamento como fato desencadeador tem um efeito adicional. Como o valor devido cresce com o número de titulares mantidos a cada ano, a compensação passa a incentivar a eliminação de registros desnecessários, em sintonia com o princípio da necessidade e com o dever de eliminar os dados após o término do tratamento (Brasil, 2018, arts. 6º, III, e 16). A proteção do usuário deixa de depender apenas da fiscalização e ganha um incentivo econômico. O risco, em contrapartida, é a manipulação das informações sobre volume e tipo de uso para escapar das faixas de maior valor, prática que caberia à auditoria do CONGRI coibir.</w:t>
      </w:r>
    </w:p>
    <w:p>
      <w:pPr>
        <w:pStyle w:val="Texto"/>
      </w:pPr>
      <w:r>
        <w:rPr>
          <w:rFonts w:ascii="Times New Roman" w:hAnsi="Times New Roman" w:cs="Times New Roman"/>
          <w:sz w:val="24"/>
          <w:szCs w:val="24"/>
        </w:rPr>
        <w:t xml:space="preserve">Parte do valor devido pode ser cumprida em espécie. O modelo admite deduzir da compensação os investimentos comprovados em pesquisa e desenvolvimento no país, em capacidade industrial, na formação de profissionais e na transferência de tecnologia a instituições nacionais. A lógica tem precedentes no ordenamento brasileiro. As distribuidoras de energia elétrica são obrigadas a aplicar parte de sua receita operacional líquida em pesquisa e desenvolvimento e em eficiência energética (Brasil, 2000d, art. 1º), e a Lei de Informática vincula os benefícios do setor a investimentos em pesquisa e desenvolvimento (Brasil, 1991). A dedução aproxima o instrumento de sua finalidade, porque converte parte da compensação diretamente em capacidades que reduzem a dependência computacional. Traz, contudo, dois riscos. O primeiro é a reclassificação, como investimento dedutível, de gastos que a empresa faria de qualquer modo; o segundo, a redução das receitas disponíveis para o financiamento público das capacidades. Por isso, as deduções precisariam de teto, de critério de adicionalidade e de verificação pelo braço de auditoria do CONGRI.</w:t>
      </w:r>
    </w:p>
    <w:p>
      <w:pPr>
        <w:pStyle w:val="Texto"/>
      </w:pPr>
      <w:r>
        <w:rPr>
          <w:rFonts w:ascii="Times New Roman" w:hAnsi="Times New Roman" w:cs="Times New Roman"/>
          <w:sz w:val="24"/>
          <w:szCs w:val="24"/>
        </w:rPr>
        <w:t xml:space="preserve">Esse desenho responde ao paradoxo apresentado no item 2.4. Deixar os recursos informacionais sob o controle exclusivo de poucas empresas mantém funções de organização social fora de critérios de responsabilidade democrática. Transferi-los ao Estado criaria o risco oposto, o de controle estatal sem garantias, que as experiências chinesa e russa ilustram. O modelo proposto evita os dois polos. Preserva as posições dos titulares de dados pessoais e trata os recursos informacionais como patrimônio coletivo, e não estatal. Começa pela compensação sobre bases públicas e só estende a cobrança às bases privadas depois de uma transição com participação da sociedade. E submete todo o processamento a transparência e auditoria. O modelo não exige um Estado forte, no sentido de controlador dos dados. Exige um Estado capaz de se defender e de defender os usuários, que fiscaliza e audita sem se tornar titular das bases. O critério que o orienta é a articulação dos três pilares da soberania digital sob a primazia da defesa dos direitos: a liberdade, a privacidade, a segurança e a participação democrática dos usuários na governança.</w:t>
      </w:r>
    </w:p>
    <w:p>
      <w:pPr>
        <w:pStyle w:val="Texto"/>
      </w:pPr>
      <w:r>
        <w:rPr>
          <w:rFonts w:ascii="Times New Roman" w:hAnsi="Times New Roman" w:cs="Times New Roman"/>
          <w:sz w:val="24"/>
          <w:szCs w:val="24"/>
        </w:rPr>
        <w:t xml:space="preserve">A comparação reformula a hipótese sem abandoná-la, e o resultado se divide em duas partes. A dimensão coletiva da contribuição sustenta formas de governança e de destinação e orienta a definição de quem participa das decisões sobre os recursos informacionais; nessa parte, a hipótese se confirma com o direito vigente. A compensação não tributária sobre as bases públicas também se sustenta desde já. O componente patrimonial sobre as bases privadas, ao contrário, não se sustenta no direito vigente, já que, sem reconhecimento normativo, a cobrança seria tributo. É uma proposta de direito a constituir, que depende de três condições, a do reconhecimento expresso, a da correspondência a custos identificáveis e a da calibração pelo aproveitamento medido, e cuja qualificação não tributária, mesmo com elas, ficaria sujeita ao juízo dos tribunais. O pagamento individual permanece como horizonte teórico. O regime público específico examinado nesta pesquisa deve ser compreendido, portanto, como regime de patrimônio coletivo sobre os recursos informacionais, administrado em favor da coletividade, e não como titularidade estatal sobre os registros dos usuários.</w:t>
      </w:r>
    </w:p>
    <w:p>
      <w:pPr>
        <w:pStyle w:val="Texto"/>
      </w:pPr>
      <w:r>
        <w:rPr>
          <w:rFonts w:ascii="Times New Roman" w:hAnsi="Times New Roman" w:cs="Times New Roman"/>
          <w:sz w:val="24"/>
          <w:szCs w:val="24"/>
        </w:rPr>
        <w:t xml:space="preserve">O modelo proposto também tem custos. O reconhecimento dos recursos informacionais como patrimônio coletivo depende de uma alteração normativa de alto custo político e prazo incerto. Mesmo afastada a forma tributária, a exposição a pressões comerciais continua, já que a investigação concluída contra o Brasil em 2026 alcançou também o comércio digital e os serviços de pagamento eletrônico (USTR, 2026). Belli et al. (2026b, p. 143) recomendam políticas transparentes, fundamentadas em dados empíricos e alinhadas a padrões internacionais, que reduzam a margem para alegações de discriminação; um critério de distribuição que independe da nacionalidade dos fornecedores é coerente com essa recomendação. Por fim, as receitas da compensação são incertas, e a transição só permite estimá-las depois dos primeiros ciclos de divulgação. Daí a necessidade de que as capacidades descritas nos itens 4.6 e 4.7 não dependam exclusivamente desse financiamento.</w:t>
      </w:r>
    </w:p>
    <w:p>
      <w:pPr>
        <w:keepNext/>
        <w:spacing w:before="240" w:after="120" w:line="240" w:lineRule="auto"/>
        <w:jc w:val="center"/>
      </w:pPr>
      <w:r>
        <w:rPr>
          <w:rFonts w:ascii="Times New Roman" w:hAnsi="Times New Roman" w:cs="Times New Roman"/>
          <w:b/>
          <w:bCs/>
          <w:sz w:val="22"/>
          <w:szCs w:val="22"/>
        </w:rPr>
        <w:t xml:space="preserve">Quadro 5 – Modelos de repartição e modelo proposto</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700"/>
        <w:gridCol w:w="1750"/>
        <w:gridCol w:w="1500"/>
        <w:gridCol w:w="2100"/>
        <w:gridCol w:w="2021"/>
      </w:tblGrid>
      <w:tr>
        <w:trPr>
          <w:tblHeader/>
          <w:cantSplit/>
        </w:trPr>
        <w:tc>
          <w:tcPr>
            <w:tcW w:w="1700" w:type="dxa"/>
            <w:shd w:val="clear" w:color="auto" w:fill="D9D9D9"/>
          </w:tcPr>
          <w:p>
            <w:pPr>
              <w:spacing w:before="0" w:after="0" w:line="240" w:lineRule="auto"/>
              <w:jc w:val="left"/>
            </w:pPr>
            <w:r>
              <w:rPr>
                <w:rFonts w:ascii="Times New Roman" w:hAnsi="Times New Roman" w:cs="Times New Roman"/>
                <w:b/>
                <w:bCs/>
                <w:sz w:val="20"/>
                <w:szCs w:val="20"/>
              </w:rPr>
              <w:t xml:space="preserve">Modelo</w:t>
            </w:r>
          </w:p>
        </w:tc>
        <w:tc>
          <w:tcPr>
            <w:tcW w:w="1750" w:type="dxa"/>
            <w:shd w:val="clear" w:color="auto" w:fill="D9D9D9"/>
          </w:tcPr>
          <w:p>
            <w:pPr>
              <w:spacing w:before="0" w:after="0" w:line="240" w:lineRule="auto"/>
              <w:jc w:val="left"/>
            </w:pPr>
            <w:r>
              <w:rPr>
                <w:rFonts w:ascii="Times New Roman" w:hAnsi="Times New Roman" w:cs="Times New Roman"/>
                <w:b/>
                <w:bCs/>
                <w:sz w:val="20"/>
                <w:szCs w:val="20"/>
              </w:rPr>
              <w:t xml:space="preserve">Fundamento</w:t>
            </w:r>
          </w:p>
        </w:tc>
        <w:tc>
          <w:tcPr>
            <w:tcW w:w="1500" w:type="dxa"/>
            <w:shd w:val="clear" w:color="auto" w:fill="D9D9D9"/>
          </w:tcPr>
          <w:p>
            <w:pPr>
              <w:spacing w:before="0" w:after="0" w:line="240" w:lineRule="auto"/>
              <w:jc w:val="left"/>
            </w:pPr>
            <w:r>
              <w:rPr>
                <w:rFonts w:ascii="Times New Roman" w:hAnsi="Times New Roman" w:cs="Times New Roman"/>
                <w:b/>
                <w:bCs/>
                <w:sz w:val="20"/>
                <w:szCs w:val="20"/>
              </w:rPr>
              <w:t xml:space="preserve">Natureza jurídica</w:t>
            </w:r>
          </w:p>
        </w:tc>
        <w:tc>
          <w:tcPr>
            <w:tcW w:w="2100" w:type="dxa"/>
            <w:shd w:val="clear" w:color="auto" w:fill="D9D9D9"/>
          </w:tcPr>
          <w:p>
            <w:pPr>
              <w:spacing w:before="0" w:after="0" w:line="240" w:lineRule="auto"/>
              <w:jc w:val="left"/>
            </w:pPr>
            <w:r>
              <w:rPr>
                <w:rFonts w:ascii="Times New Roman" w:hAnsi="Times New Roman" w:cs="Times New Roman"/>
                <w:b/>
                <w:bCs/>
                <w:sz w:val="20"/>
                <w:szCs w:val="20"/>
              </w:rPr>
              <w:t xml:space="preserve">Alcance</w:t>
            </w:r>
          </w:p>
        </w:tc>
        <w:tc>
          <w:tcPr>
            <w:tcW w:w="2021" w:type="dxa"/>
            <w:shd w:val="clear" w:color="auto" w:fill="D9D9D9"/>
          </w:tcPr>
          <w:p>
            <w:pPr>
              <w:spacing w:before="0" w:after="0" w:line="240" w:lineRule="auto"/>
              <w:jc w:val="left"/>
            </w:pPr>
            <w:r>
              <w:rPr>
                <w:rFonts w:ascii="Times New Roman" w:hAnsi="Times New Roman" w:cs="Times New Roman"/>
                <w:b/>
                <w:bCs/>
                <w:sz w:val="20"/>
                <w:szCs w:val="20"/>
              </w:rPr>
              <w:t xml:space="preserve">Limites</w:t>
            </w:r>
          </w:p>
        </w:tc>
      </w:tr>
      <w:tr>
        <w:trPr>
          <w:cantSplit/>
        </w:trPr>
        <w:tc>
          <w:tcPr>
            <w:tcW w:w="1700" w:type="dxa"/>
          </w:tcPr>
          <w:p>
            <w:pPr>
              <w:spacing w:before="0" w:after="0" w:line="240" w:lineRule="auto"/>
              <w:jc w:val="left"/>
            </w:pPr>
            <w:r>
              <w:rPr>
                <w:rFonts w:ascii="Times New Roman" w:hAnsi="Times New Roman" w:cs="Times New Roman"/>
                <w:b/>
                <w:bCs/>
                <w:sz w:val="20"/>
                <w:szCs w:val="20"/>
              </w:rPr>
              <w:t xml:space="preserve">1. Pagamento individual (horizonte teórico)</w:t>
            </w:r>
          </w:p>
        </w:tc>
        <w:tc>
          <w:tcPr>
            <w:tcW w:w="1750" w:type="dxa"/>
          </w:tcPr>
          <w:p>
            <w:pPr>
              <w:spacing w:before="0" w:after="0" w:line="240" w:lineRule="auto"/>
              <w:jc w:val="left"/>
            </w:pPr>
            <w:r>
              <w:rPr>
                <w:rFonts w:ascii="Times New Roman" w:hAnsi="Times New Roman" w:cs="Times New Roman"/>
                <w:sz w:val="20"/>
                <w:szCs w:val="20"/>
              </w:rPr>
              <w:t xml:space="preserve">Contribuição individual mensurável</w:t>
            </w:r>
          </w:p>
        </w:tc>
        <w:tc>
          <w:tcPr>
            <w:tcW w:w="1500" w:type="dxa"/>
          </w:tcPr>
          <w:p>
            <w:pPr>
              <w:spacing w:before="0" w:after="0" w:line="240" w:lineRule="auto"/>
              <w:jc w:val="left"/>
            </w:pPr>
            <w:r>
              <w:rPr>
                <w:rFonts w:ascii="Times New Roman" w:hAnsi="Times New Roman" w:cs="Times New Roman"/>
                <w:sz w:val="20"/>
                <w:szCs w:val="20"/>
              </w:rPr>
              <w:t xml:space="preserve">Depende do desenho; sem base jurídica definida</w:t>
            </w:r>
          </w:p>
        </w:tc>
        <w:tc>
          <w:tcPr>
            <w:tcW w:w="2100" w:type="dxa"/>
          </w:tcPr>
          <w:p>
            <w:pPr>
              <w:spacing w:before="0" w:after="0" w:line="240" w:lineRule="auto"/>
              <w:jc w:val="left"/>
            </w:pPr>
            <w:r>
              <w:rPr>
                <w:rFonts w:ascii="Times New Roman" w:hAnsi="Times New Roman" w:cs="Times New Roman"/>
                <w:sz w:val="20"/>
                <w:szCs w:val="20"/>
              </w:rPr>
              <w:t xml:space="preserve">Retorno visível a cada usuário</w:t>
            </w:r>
          </w:p>
        </w:tc>
        <w:tc>
          <w:tcPr>
            <w:tcW w:w="2021" w:type="dxa"/>
          </w:tcPr>
          <w:p>
            <w:pPr>
              <w:spacing w:before="0" w:after="0" w:line="240" w:lineRule="auto"/>
              <w:jc w:val="left"/>
            </w:pPr>
            <w:r>
              <w:rPr>
                <w:rFonts w:ascii="Times New Roman" w:hAnsi="Times New Roman" w:cs="Times New Roman"/>
                <w:sz w:val="20"/>
                <w:szCs w:val="20"/>
              </w:rPr>
              <w:t xml:space="preserve">Mensuração do valor marginal; baixo valor individual; mercantilização dos dados pessoais</w:t>
            </w:r>
          </w:p>
        </w:tc>
      </w:tr>
      <w:tr>
        <w:trPr>
          <w:cantSplit/>
        </w:trPr>
        <w:tc>
          <w:tcPr>
            <w:tcW w:w="1700" w:type="dxa"/>
          </w:tcPr>
          <w:p>
            <w:pPr>
              <w:spacing w:before="0" w:after="0" w:line="240" w:lineRule="auto"/>
              <w:jc w:val="left"/>
            </w:pPr>
            <w:r>
              <w:rPr>
                <w:rFonts w:ascii="Times New Roman" w:hAnsi="Times New Roman" w:cs="Times New Roman"/>
                <w:sz w:val="20"/>
                <w:szCs w:val="20"/>
              </w:rPr>
              <w:t xml:space="preserve">2. Compensação pelo uso de bases públicas</w:t>
            </w:r>
          </w:p>
        </w:tc>
        <w:tc>
          <w:tcPr>
            <w:tcW w:w="1750" w:type="dxa"/>
          </w:tcPr>
          <w:p>
            <w:pPr>
              <w:spacing w:before="0" w:after="0" w:line="240" w:lineRule="auto"/>
              <w:jc w:val="left"/>
            </w:pPr>
            <w:r>
              <w:rPr>
                <w:rFonts w:ascii="Times New Roman" w:hAnsi="Times New Roman" w:cs="Times New Roman"/>
                <w:sz w:val="20"/>
                <w:szCs w:val="20"/>
              </w:rPr>
              <w:t xml:space="preserve">Patrimônio informacional de entidades públicas</w:t>
            </w:r>
          </w:p>
        </w:tc>
        <w:tc>
          <w:tcPr>
            <w:tcW w:w="1500" w:type="dxa"/>
          </w:tcPr>
          <w:p>
            <w:pPr>
              <w:spacing w:before="0" w:after="0" w:line="240" w:lineRule="auto"/>
              <w:jc w:val="left"/>
            </w:pPr>
            <w:r>
              <w:rPr>
                <w:rFonts w:ascii="Times New Roman" w:hAnsi="Times New Roman" w:cs="Times New Roman"/>
                <w:sz w:val="20"/>
                <w:szCs w:val="20"/>
              </w:rPr>
              <w:t xml:space="preserve">Não tributária (receita patrimonial)</w:t>
            </w:r>
          </w:p>
        </w:tc>
        <w:tc>
          <w:tcPr>
            <w:tcW w:w="2100" w:type="dxa"/>
          </w:tcPr>
          <w:p>
            <w:pPr>
              <w:spacing w:before="0" w:after="0" w:line="240" w:lineRule="auto"/>
              <w:jc w:val="left"/>
            </w:pPr>
            <w:r>
              <w:rPr>
                <w:rFonts w:ascii="Times New Roman" w:hAnsi="Times New Roman" w:cs="Times New Roman"/>
                <w:sz w:val="20"/>
                <w:szCs w:val="20"/>
              </w:rPr>
              <w:t xml:space="preserve">Acesso comercial em larga escala e licenciamento de bases públicas</w:t>
            </w:r>
          </w:p>
        </w:tc>
        <w:tc>
          <w:tcPr>
            <w:tcW w:w="2021" w:type="dxa"/>
          </w:tcPr>
          <w:p>
            <w:pPr>
              <w:spacing w:before="0" w:after="0" w:line="240" w:lineRule="auto"/>
              <w:jc w:val="left"/>
            </w:pPr>
            <w:r>
              <w:rPr>
                <w:rFonts w:ascii="Times New Roman" w:hAnsi="Times New Roman" w:cs="Times New Roman"/>
                <w:sz w:val="20"/>
                <w:szCs w:val="20"/>
              </w:rPr>
              <w:t xml:space="preserve">Gratuidade do acesso à informação; restrições da LGPD a dados pessoais; receitas incertas</w:t>
            </w:r>
          </w:p>
        </w:tc>
      </w:tr>
      <w:tr>
        <w:trPr>
          <w:cantSplit/>
        </w:trPr>
        <w:tc>
          <w:tcPr>
            <w:tcW w:w="1700" w:type="dxa"/>
          </w:tcPr>
          <w:p>
            <w:pPr>
              <w:spacing w:before="0" w:after="0" w:line="240" w:lineRule="auto"/>
              <w:jc w:val="left"/>
            </w:pPr>
            <w:r>
              <w:rPr>
                <w:rFonts w:ascii="Times New Roman" w:hAnsi="Times New Roman" w:cs="Times New Roman"/>
                <w:sz w:val="20"/>
                <w:szCs w:val="20"/>
              </w:rPr>
              <w:t xml:space="preserve">3. Governança coletiva e acesso</w:t>
            </w:r>
          </w:p>
        </w:tc>
        <w:tc>
          <w:tcPr>
            <w:tcW w:w="1750" w:type="dxa"/>
          </w:tcPr>
          <w:p>
            <w:pPr>
              <w:spacing w:before="0" w:after="0" w:line="240" w:lineRule="auto"/>
              <w:jc w:val="left"/>
            </w:pPr>
            <w:r>
              <w:rPr>
                <w:rFonts w:ascii="Times New Roman" w:hAnsi="Times New Roman" w:cs="Times New Roman"/>
                <w:sz w:val="20"/>
                <w:szCs w:val="20"/>
              </w:rPr>
              <w:t xml:space="preserve">Interdependência das contribuições</w:t>
            </w:r>
          </w:p>
        </w:tc>
        <w:tc>
          <w:tcPr>
            <w:tcW w:w="1500" w:type="dxa"/>
          </w:tcPr>
          <w:p>
            <w:pPr>
              <w:spacing w:before="0" w:after="0" w:line="240" w:lineRule="auto"/>
              <w:jc w:val="left"/>
            </w:pPr>
            <w:r>
              <w:rPr>
                <w:rFonts w:ascii="Times New Roman" w:hAnsi="Times New Roman" w:cs="Times New Roman"/>
                <w:sz w:val="20"/>
                <w:szCs w:val="20"/>
              </w:rPr>
              <w:t xml:space="preserve">Regulatória, sem cobrança</w:t>
            </w:r>
          </w:p>
        </w:tc>
        <w:tc>
          <w:tcPr>
            <w:tcW w:w="2100" w:type="dxa"/>
          </w:tcPr>
          <w:p>
            <w:pPr>
              <w:spacing w:before="0" w:after="0" w:line="240" w:lineRule="auto"/>
              <w:jc w:val="left"/>
            </w:pPr>
            <w:r>
              <w:rPr>
                <w:rFonts w:ascii="Times New Roman" w:hAnsi="Times New Roman" w:cs="Times New Roman"/>
                <w:sz w:val="20"/>
                <w:szCs w:val="20"/>
              </w:rPr>
              <w:t xml:space="preserve">Portabilidade, interoperabilidade e representação coletiva</w:t>
            </w:r>
          </w:p>
        </w:tc>
        <w:tc>
          <w:tcPr>
            <w:tcW w:w="2021" w:type="dxa"/>
          </w:tcPr>
          <w:p>
            <w:pPr>
              <w:spacing w:before="0" w:after="0" w:line="240" w:lineRule="auto"/>
              <w:jc w:val="left"/>
            </w:pPr>
            <w:r>
              <w:rPr>
                <w:rFonts w:ascii="Times New Roman" w:hAnsi="Times New Roman" w:cs="Times New Roman"/>
                <w:sz w:val="20"/>
                <w:szCs w:val="20"/>
              </w:rPr>
              <w:t xml:space="preserve">Não gera receitas; risco de captura</w:t>
            </w:r>
          </w:p>
        </w:tc>
      </w:tr>
      <w:tr>
        <w:trPr>
          <w:cantSplit/>
        </w:trPr>
        <w:tc>
          <w:tcPr>
            <w:tcW w:w="1700" w:type="dxa"/>
          </w:tcPr>
          <w:p>
            <w:pPr>
              <w:spacing w:before="0" w:after="0" w:line="240" w:lineRule="auto"/>
              <w:jc w:val="left"/>
            </w:pPr>
            <w:r>
              <w:rPr>
                <w:rFonts w:ascii="Times New Roman" w:hAnsi="Times New Roman" w:cs="Times New Roman"/>
                <w:sz w:val="20"/>
                <w:szCs w:val="20"/>
              </w:rPr>
              <w:t xml:space="preserve">Modelo proposto (2 + 3), em etapas</w:t>
            </w:r>
          </w:p>
        </w:tc>
        <w:tc>
          <w:tcPr>
            <w:tcW w:w="1750" w:type="dxa"/>
          </w:tcPr>
          <w:p>
            <w:pPr>
              <w:spacing w:before="0" w:after="0" w:line="240" w:lineRule="auto"/>
              <w:jc w:val="left"/>
            </w:pPr>
            <w:r>
              <w:rPr>
                <w:rFonts w:ascii="Times New Roman" w:hAnsi="Times New Roman" w:cs="Times New Roman"/>
                <w:sz w:val="20"/>
                <w:szCs w:val="20"/>
              </w:rPr>
              <w:t xml:space="preserve">Patrimônio coletivo de uso comum (usuário-pagador); proposta de direito a constituir</w:t>
            </w:r>
          </w:p>
        </w:tc>
        <w:tc>
          <w:tcPr>
            <w:tcW w:w="1500" w:type="dxa"/>
          </w:tcPr>
          <w:p>
            <w:pPr>
              <w:spacing w:before="0" w:after="0" w:line="240" w:lineRule="auto"/>
              <w:jc w:val="left"/>
            </w:pPr>
            <w:r>
              <w:rPr>
                <w:rFonts w:ascii="Times New Roman" w:hAnsi="Times New Roman" w:cs="Times New Roman"/>
                <w:sz w:val="20"/>
                <w:szCs w:val="20"/>
              </w:rPr>
              <w:t xml:space="preserve">Pretendida como não tributária; tributária (CIDE) sem reconhecimento normativo</w:t>
            </w:r>
          </w:p>
        </w:tc>
        <w:tc>
          <w:tcPr>
            <w:tcW w:w="2100" w:type="dxa"/>
          </w:tcPr>
          <w:p>
            <w:pPr>
              <w:spacing w:before="0" w:after="0" w:line="240" w:lineRule="auto"/>
              <w:jc w:val="left"/>
            </w:pPr>
            <w:r>
              <w:rPr>
                <w:rFonts w:ascii="Times New Roman" w:hAnsi="Times New Roman" w:cs="Times New Roman"/>
                <w:sz w:val="20"/>
                <w:szCs w:val="20"/>
              </w:rPr>
              <w:t xml:space="preserve">1) compensação sobre bases públicas, regulações e transparência integral; 2) transição de dois anos com divulgação obrigatória, auditoria e mesas de diálogo; 3) compensação sobre o armazenamento de dados de usuários por controladores privados, por porte, tipo de uso e risco, condicionada a limites de retenção e à rastreabilidade de transferências e cruzamentos, com deduções por P&amp;D, indústria, formação e transferência de tecnologia</w:t>
            </w:r>
          </w:p>
        </w:tc>
        <w:tc>
          <w:tcPr>
            <w:tcW w:w="2021" w:type="dxa"/>
          </w:tcPr>
          <w:p>
            <w:pPr>
              <w:spacing w:before="0" w:after="0" w:line="240" w:lineRule="auto"/>
              <w:jc w:val="left"/>
            </w:pPr>
            <w:r>
              <w:rPr>
                <w:rFonts w:ascii="Times New Roman" w:hAnsi="Times New Roman" w:cs="Times New Roman"/>
                <w:sz w:val="20"/>
                <w:szCs w:val="20"/>
              </w:rPr>
              <w:t xml:space="preserve">Exige alteração normativa; custos compensados precisam ser identificados, pois os dados não se esgotam; volume é indicador fraco para quem só armazena; risco de requalificação como tributo; pressões comerciais; controle das deduções</w:t>
            </w:r>
          </w:p>
        </w:tc>
      </w:tr>
    </w:tbl>
    <w:p>
      <w:pPr>
        <w:spacing w:before="60" w:after="240" w:line="240" w:lineRule="auto"/>
      </w:pPr>
      <w:r>
        <w:rPr>
          <w:rFonts w:ascii="Times New Roman" w:hAnsi="Times New Roman" w:cs="Times New Roman"/>
          <w:sz w:val="20"/>
          <w:szCs w:val="20"/>
        </w:rPr>
        <w:t xml:space="preserve">Fonte: elaboração própria.</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4.6 Destinação, governança e metas: as três DINFRAs nacionais e o FuNSoD</w:t>
      </w:r>
    </w:p>
    <w:p>
      <w:pPr>
        <w:pStyle w:val="Texto"/>
      </w:pPr>
      <w:r>
        <w:rPr>
          <w:rFonts w:ascii="Times New Roman" w:hAnsi="Times New Roman" w:cs="Times New Roman"/>
          <w:sz w:val="24"/>
          <w:szCs w:val="24"/>
        </w:rPr>
        <w:t xml:space="preserve">A destinação dos recursos é uma finalidade a ser avaliada, e não o fundamento da obrigação. O critério de avaliação vem do item 2.4: os recursos devem ampliar a capacidade de operar, manter, adaptar e substituir soluções relevantes, e não apenas a oferta de equipamentos. Como a DINFRA inclui componentes intangíveis, essa ampliação abrange licenças, padrões abertos, interoperabilidade e formação de competências. Comprar servidores sem formar quem os opere, ou sem garantir a portabilidade das aplicações, manteria a dependência sob outra forma. A destinação precisa, ainda, ser compatível com o fundamento escolhido: as receitas da compensação pelo uso de bases públicas e os demais recursos vinculados ao regime de interesse coletivo devem retornar em capacidades e serviços que beneficiem a coletividade.</w:t>
      </w:r>
    </w:p>
    <w:p>
      <w:pPr>
        <w:pStyle w:val="Texto"/>
      </w:pPr>
      <w:r>
        <w:rPr>
          <w:rFonts w:ascii="Times New Roman" w:hAnsi="Times New Roman" w:cs="Times New Roman"/>
          <w:sz w:val="24"/>
          <w:szCs w:val="24"/>
        </w:rPr>
        <w:t xml:space="preserve">A destinação organiza-se em três DINFRAs nacionais, correspondentes aos pilares da soberania digital definidos no item 2.4. Cada uma reúne os arranjos de infraestrutura que atendem a um conjunto determinado de organizações usuárias, o que preserva a unidade de análise adotada no item 2.2. A DINFRA de defesa nacional compreende as capacidades das Forças Armadas e das polícias, como a defesa cibernética, a guerra eletrônica e a proteção de infraestruturas críticas. A de defesa econômica compreende as capacidades da indústria e da pesquisa, como a computação de alto desempenho, os centros de dados sob controle nacional, os modelos de inteligência artificial de interesse público e a formação de profissionais. A de proteção do usuário compreende as capacidades de conformidade e de fiscalização rigorosa sobre as plataformas, entre elas a auditoria do processamento, a verificação das informações divulgadas e o atendimento aos titulares. A separação tem uma razão prática. Cada DINFRA tem usuários, riscos e formas de controle próprios, e misturá-las impediria verificar para onde os recursos efetivamente vão.</w:t>
      </w:r>
    </w:p>
    <w:p>
      <w:pPr>
        <w:pStyle w:val="Texto"/>
      </w:pPr>
      <w:r>
        <w:rPr>
          <w:rFonts w:ascii="Times New Roman" w:hAnsi="Times New Roman" w:cs="Times New Roman"/>
          <w:sz w:val="24"/>
          <w:szCs w:val="24"/>
        </w:rPr>
        <w:t xml:space="preserve">Os investimentos nas três DINFRAs articulam-se em um Fundo Nacional de Soberania Digital (FuNSoD). A ideia retoma a proposta de Belli et al. (2026b, p. 210-211) de um fundo inspirado no FNDCT, que integraria receitas do Fust, linhas de crédito do Banco Nacional de Desenvolvimento Econômico e Social (BNDES) e aportes orçamentários, destinados a infraestrutura soberana e a programas de inovação e formação. No modelo proposto, o FuNSoD receberia também as receitas da compensação pelo uso de bases públicas e, depois da transição, as da cobrança sobre bases privadas, e manteria três contas segregadas, uma para cada DINFRA. Sua criação depende de autorização legislativa, pois a Constituição veda a instituição de fundos sem esse requisito (Brasil, 1988, art. 167, IX). A Lei de Responsabilidade Fiscal oferece duas garantias úteis ao desenho. Os recursos legalmente vinculados a finalidade específica só podem atender ao objeto da vinculação, ainda que em exercício diverso; e as despesas com inovação e desenvolvimento científico e tecnológico custeadas por fundo criado para essa finalidade não se sujeitam a limitação de empenho (Brasil, 2000e, arts. 8º, parágrafo único, e 9º, § 2º).</w:t>
      </w:r>
    </w:p>
    <w:p>
      <w:pPr>
        <w:pStyle w:val="Texto"/>
      </w:pPr>
      <w:r>
        <w:rPr>
          <w:rFonts w:ascii="Times New Roman" w:hAnsi="Times New Roman" w:cs="Times New Roman"/>
          <w:sz w:val="24"/>
          <w:szCs w:val="24"/>
        </w:rPr>
        <w:t xml:space="preserve">A aplicação dos recursos obedece a critérios rígidos. Todo investimento depende de estudo técnico prévio que identifique a dependência a ser reduzida, a capacidade a ser desenvolvida, o indicador de resultado e o custo das alternativas. Estudos, decisões e contratos são publicados em formato aberto, porque a transparência é a principal defesa contra a corrupção e contra a captura do fundo por interesses particulares. Os recursos não podem ser destinados a atividades estranhas às três DINFRAs, e sua execução é acompanhada pelo Tribunal de Contas da União, no controle externo, e pela Controladoria-Geral da União, no controle interno.</w:t>
      </w:r>
    </w:p>
    <w:p>
      <w:pPr>
        <w:pStyle w:val="Texto"/>
      </w:pPr>
      <w:r>
        <w:rPr>
          <w:rFonts w:ascii="Times New Roman" w:hAnsi="Times New Roman" w:cs="Times New Roman"/>
          <w:sz w:val="24"/>
          <w:szCs w:val="24"/>
        </w:rPr>
        <w:t xml:space="preserve">A gestão segue a mesma lógica. Os conselheiros e gestores do fundo exercem mandatos curtos, sem recondução e com renovação escalonada, e cumprem quarentena ao deixar o cargo, nos termos da legislação sobre conflito de interesses (Brasil, 2013). O fundo existe para desenvolver capacidades nacionais, e não projetos pessoais. A rotatividade tem, contudo, um custo. Investimentos de longo prazo, como os de semicondutores ou de computação de alto desempenho, exigem continuidade, que precisaria ser assegurada por um corpo técnico permanente e por planos plurianuais aprovados pelo conselho.</w:t>
      </w:r>
    </w:p>
    <w:p>
      <w:pPr>
        <w:pStyle w:val="Texto"/>
      </w:pPr>
      <w:r>
        <w:rPr>
          <w:rFonts w:ascii="Times New Roman" w:hAnsi="Times New Roman" w:cs="Times New Roman"/>
          <w:sz w:val="24"/>
          <w:szCs w:val="24"/>
        </w:rPr>
        <w:t xml:space="preserve">A governança deve refletir a dimensão coletiva que fundamenta a participação, e o modelo a concentra no CONGRI, organizado em duas instâncias. Uma diretoria técnica, com corpo permanente, exerce a regulação, a auditoria e a gestão operacional do FuNSoD. Um plenário multissetorial define prioridades, aprova os planos de investimento e fiscaliza a diretoria. Para o plenário, sugere-se a seguinte composição com direito a voto: pelo Poder Executivo, a Presidência da República, os Ministérios da Ciência, Tecnologia e Inovação e da Fazenda, a autoridade nacional de proteção de dados, a Agência Nacional de Telecomunicações, o Conselho Administrativo de Defesa Econômica, a Controladoria-Geral da União e o Banco Central, cada um com um assento; a Câmara dos Deputados e o Senado Federal, com um assento cada; o Poder Judiciário, por meio do Conselho Nacional de Justiça; três especialistas de universidades federais; dois representantes de empresas de tecnologia, um deles de empresas nacionais de menor porte; três representantes dos usuários e da sociedade civil; e um representante dos trabalhadores. A auditoria externa independente e os observadores internacionais participam sem voto. O Poder Executivo, polo governamental do arranjo, reúne oito dos vinte votos, e as empresas, dois. Os representantes da Câmara, do Senado e do Conselho Nacional de Justiça não integram esse polo: são escolhidos por voto indireto no interior de cada instituição, respondem a maiorias próprias e podem divergir amplamente do governo. Ainda assim, como os três Poderes somariam onze votos se votassem em bloco, as decisões sobre a cobrança, as deduções e a aplicação dos recursos do fundo exigem maioria qualificada de dois terços, isto é, catorze votos, com pelo menos dois dos três representantes dos usuários e da sociedade civil. Com essa regra, nenhum dos polos do paradoxo decide sozinho. A proposta aproxima-se do conselho nacional sugerido por Belli et al. (2026b, p. 209-210), mas lhe acrescenta funções de regulação e de auditoria e uma regra de decisão que protege a representação dos usuários.</w:t>
      </w:r>
    </w:p>
    <w:p>
      <w:pPr>
        <w:pStyle w:val="Texto"/>
      </w:pPr>
      <w:r>
        <w:rPr>
          <w:rFonts w:ascii="Times New Roman" w:hAnsi="Times New Roman" w:cs="Times New Roman"/>
          <w:sz w:val="24"/>
          <w:szCs w:val="24"/>
        </w:rPr>
        <w:t xml:space="preserve">Essa composição tem precedente no Conselho Nacional de Proteção de Dados Pessoais e da Privacidade, que reúne representantes do Poder Executivo, do Senado, da Câmara, do Conselho Nacional de Justiça, do Conselho Nacional do Ministério Público, do Comitê Gestor da Internet, da sociedade civil, de instituições científicas e dos setores empresarial e laboral, com mandato de dois anos e participação não remunerada (Brasil, 2018, art. 58-A). O precedente orienta dois ajustes. O Judiciário participa pelo Conselho Nacional de Justiça, e não por ministros do Supremo Tribunal Federal ou do Superior Tribunal de Justiça, porque a Constituição veda aos juízes o exercício de outro cargo ou função, salvo o magistério (Brasil, 1988, art. 95, parágrafo único, I), e porque esses tribunais podem vir a julgar os atos do próprio órgão. A presença de usuários e da sociedade civil, por sua vez, é condição da legitimidade do regime, já que é a contribuição coletiva que o fundamenta. Já a presença de empresas exige regras de impedimento em decisões que as afetem diretamente, sob pena de captura do regulador pelos regulados.</w:t>
      </w:r>
    </w:p>
    <w:p>
      <w:pPr>
        <w:pStyle w:val="Texto"/>
      </w:pPr>
      <w:r>
        <w:rPr>
          <w:rFonts w:ascii="Times New Roman" w:hAnsi="Times New Roman" w:cs="Times New Roman"/>
          <w:sz w:val="24"/>
          <w:szCs w:val="24"/>
        </w:rPr>
        <w:t xml:space="preserve">O papel do CONGRI não seria apenas consultivo. Sua diretoria técnica contaria com um braço de auditoria, com acesso integral ao processamento das empresas sujeitas ao regime e competência para verificar as informações divulgadas e as deduções declaradas. O órgão atuaria também em articulação com a Polícia Federal, que dispõe desde 2023 de uma Diretoria de Combate a Crimes Cibernéticos (Agência Gov, 2023), na apuração de fraudes e crimes relacionados ao regime. O foco dessa estrutura é a proteção dos usuários, e seu rigor seria maior durante a transição. A presença da autoridade nacional de proteção de dados e do Conselho Administrativo de Defesa Econômica no plenário serve também para evitar a duplicação de competências. Os atos do próprio CONGRI também exigiriam controle, por meio de mandatos, publicidade das decisões, revisão judicial e controle externo, para que o órgão encarregado de proteger os usuários não reproduza o polo estatal do paradoxo.</w:t>
      </w:r>
    </w:p>
    <w:p>
      <w:pPr>
        <w:pStyle w:val="Texto"/>
      </w:pPr>
      <w:r>
        <w:rPr>
          <w:rFonts w:ascii="Times New Roman" w:hAnsi="Times New Roman" w:cs="Times New Roman"/>
          <w:sz w:val="24"/>
          <w:szCs w:val="24"/>
        </w:rPr>
        <w:t xml:space="preserve">A separação entre funções civis e de defesa é condição de legitimidade. A LGPD não se aplica ao tratamento realizado para fins exclusivos de segurança pública, defesa nacional, segurança do Estado ou investigação e repressão de infrações penais, que deve ser regido por legislação específica (Brasil, 2018, art. 4º, III). Por isso, a conta da DINFRA de defesa nacional no FuNSoD fica restrita a capacidades defensivas, como a proteção de infraestruturas críticas, a defesa cibernética e a guerra eletrônica, e é vedado usar recursos do fundo em capacidades de vigilância da população. Enquanto aquela legislação não existir, a vedação deve ser expressa. Do contrário, a repartição dos benefícios se converteria em ampliação do tratamento de dados dos usuários sem as garantias da LGPD.</w:t>
      </w:r>
    </w:p>
    <w:p>
      <w:pPr>
        <w:pStyle w:val="Texto"/>
      </w:pPr>
      <w:r>
        <w:rPr>
          <w:rFonts w:ascii="Times New Roman" w:hAnsi="Times New Roman" w:cs="Times New Roman"/>
          <w:sz w:val="24"/>
          <w:szCs w:val="24"/>
        </w:rPr>
        <w:t xml:space="preserve">As compras públicas são o principal instrumento de destinação. O setor público é o maior comprador de tecnologia do país, e os gastos com soluções estrangeiras identificados no item 4.3 dão a medida do poder de compra disponível (Belli et al., 2026b, p. 190 e 211). Belli et al. (2026b, p. 212-215) propõem uma Avaliação de Autonomia Tecnológica com sete critérios: independência jurídica e estrutural, robustez da cadeia de suprimentos, localização de categorias específicas de dados, autonomia operacional da equipe técnica, interoperabilidade e portabilidade, arquiteturas auditáveis e reversibilidade. Para os autores, a avaliação é compatível com o acordo da Organização Mundial do Comércio sobre compras governamentais graças à exceção de segurança prevista nesse tratado (Belli et al., 2026b, p. 215). São esses critérios que convertem a noção de dependência computacional em requisitos verificáveis.</w:t>
      </w:r>
    </w:p>
    <w:p>
      <w:pPr>
        <w:pStyle w:val="Texto"/>
      </w:pPr>
      <w:r>
        <w:rPr>
          <w:rFonts w:ascii="Times New Roman" w:hAnsi="Times New Roman" w:cs="Times New Roman"/>
          <w:sz w:val="24"/>
          <w:szCs w:val="24"/>
        </w:rPr>
        <w:t xml:space="preserve">As metas deste item dizem respeito aos recursos, e não ao plano como um todo. Três são essenciais: a proporção dos recursos aplicada em capacidades de operação, adaptação e substituição, em comparação com a simples aquisição de equipamentos ou serviços; a publicação periódica da aplicação dos recursos e de seus resultados; e a avaliação independente em ciclos definidos. As metas relativas às capacidades nacionais dependem dos estudos indicados no item 4.7. As receitas da compensação não são estimadas nesta pesquisa; sua estimativa depende dos dados divulgados durante a transição prevista no item 4.5.</w:t>
      </w:r>
    </w:p>
    <w:p>
      <w:pPr>
        <w:pStyle w:val="Subttulonvel2"/>
        <w:keepNext/>
        <w:numPr>
          <w:ilvl w:val="0"/>
          <w:numId w:val="0"/>
        </w:numPr>
        <w:spacing w:before="240" w:after="120" w:line="360" w:lineRule="auto"/>
      </w:pPr>
      <w:r>
        <w:rPr>
          <w:rFonts w:ascii="Times New Roman" w:hAnsi="Times New Roman" w:cs="Times New Roman"/>
          <w:b/>
          <w:bCs/>
          <w:sz w:val="24"/>
          <w:szCs w:val="24"/>
        </w:rPr>
        <w:t xml:space="preserve">4.7 Diretrizes para estudos posteriores: agenda para um Plano Nacional de Soberania Digital</w:t>
      </w:r>
    </w:p>
    <w:p>
      <w:pPr>
        <w:pStyle w:val="Texto"/>
      </w:pPr>
      <w:r>
        <w:rPr>
          <w:rFonts w:ascii="Times New Roman" w:hAnsi="Times New Roman" w:cs="Times New Roman"/>
          <w:sz w:val="24"/>
          <w:szCs w:val="24"/>
        </w:rPr>
        <w:t xml:space="preserve">Este item não propõe um plano. Reúne as questões que estudos posteriores precisam responder para que um Plano Nacional de Soberania Digital possa ser formulado com base empírica, e organiza-as segundo a estrutura da Política e da Estratégia Nacional de Defesa, que partem de objetivos nacionais, definem capacidades e estabelecem a concepção estratégica (Brasil, 2025a). A opção decorre dos limites desta pesquisa: as linhas de base do Quadro 3 são incompletas, os dados de mercado dependem da transição proposta no item 4.5 e a fixação de metas exige um diagnóstico setorial que o método aqui adotado não permite. Belli et al. (2026b, p. 222) propõem planos nacionais de soberania digital como instrumentos de planejamento plurianual; as diretrizes a seguir indicam o que esses planos precisariam saber antes de fixar prioridades. Como a finalidade de um plano não substitui a demonstração do fundamento de eventual obrigação financeira, os estudos devem partir de capacidades viáveis com recursos orçamentários, fundos existentes e compras públicas. A repartição examinada no item 4.5 é uma fonte possível, não uma condição.</w:t>
      </w:r>
    </w:p>
    <w:p>
      <w:pPr>
        <w:pStyle w:val="Texto"/>
      </w:pPr>
      <w:r>
        <w:rPr>
          <w:rFonts w:ascii="Times New Roman" w:hAnsi="Times New Roman" w:cs="Times New Roman"/>
          <w:sz w:val="24"/>
          <w:szCs w:val="24"/>
        </w:rPr>
        <w:t xml:space="preserve">O ponto de partida são as condições materiais e institucionais do país. O Brasil reúne recursos hídricos, minerais, petrolíferos e de biodiversidade, uma matriz energética predominantemente renovável e a maior população da América Latina, em um contexto internacional em que poucas potências concentram capacidades computacionais e de dados e usam essas posições como instrumento de pressão. A questão que orienta a agenda é a capacidade de operar, adaptar e substituir soluções relevantes quando decisões de terceiros comprometerem sua continuidade, o que não se confunde com autossuficiência (Belli et al., 2026b, p. 208 e 221). O critério de avaliação é a soberania centrada em direitos discutida no item 2.4: interessam as capacidades nacionais que ampliem a liberdade, a privacidade, a segurança e a participação democrática dos usuários, e não as que troquem a concentração privada do controle por uma concentração estatal. A aspiração de colocar o Brasil em posição de referência em governança digital e de liderança na América Latina, em cooperação com países do Sul Global (Belli et al., 2026b, p. 223), depende das respostas que esses estudos derem.</w:t>
      </w:r>
    </w:p>
    <w:p>
      <w:pPr>
        <w:pStyle w:val="Texto"/>
      </w:pPr>
      <w:r>
        <w:rPr>
          <w:rFonts w:ascii="Times New Roman" w:hAnsi="Times New Roman" w:cs="Times New Roman"/>
          <w:sz w:val="24"/>
          <w:szCs w:val="24"/>
        </w:rPr>
        <w:t xml:space="preserve">Quatro objetivos orientariam um plano, e cada um abre uma linha de estudo. Preservar o funcionamento de serviços essenciais diante de interrupções, mudanças contratuais ou restrições de acesso exige saber quais serviços dependem de um único provedor e em quanto tempo poderiam ser recuperados. Ampliar a capacidade nacional de operar, manter, adaptar e substituir soluções digitais relevantes exige mapear, por componente da DINFRA, onde estão os obstáculos à substituição, sobretudo os intangíveis. Desenvolver competências produtivas e científicas exige identificar os segmentos em que é maior a distância entre recursos disponíveis e capacidade produtiva, como no caso das terras raras discutido no item 4.3. E organizar capacidades civis e de defesa exige examinar as salvaguardas jurídicas antes de qualquer investimento. Esses objetivos correspondem às dependências identificadas no item 4.3 e às três DINFRAs nacionais propostas no item 4.6.</w:t>
      </w:r>
    </w:p>
    <w:p>
      <w:pPr>
        <w:pStyle w:val="Texto"/>
      </w:pPr>
      <w:r>
        <w:rPr>
          <w:rFonts w:ascii="Times New Roman" w:hAnsi="Times New Roman" w:cs="Times New Roman"/>
          <w:sz w:val="24"/>
          <w:szCs w:val="24"/>
        </w:rPr>
        <w:t xml:space="preserve">O primeiro eixo de estudo trata da nuvem de grande escala e dos modelos avançados de inteligência artificial. A escala dos grandes provedores e a concentração do mercado de semicondutores (Belli et al., 2026b, p. 71-72) indicam que eventual domínio nacional teria de ser seletivo, e cabe aos estudos definir onde: nuvem sob controle nacional para cargas críticas do Estado, modelos adaptados à língua portuguesa e a domínios de interesse público, competências de migração e interoperabilidade. O SINAPAD, as empresas públicas de tecnologia e a computação de alto desempenho prevista no Plano Brasileiro de Inteligência Artificial formam a base a avaliar (Belli et al., 2026b, p. 171-172). O uso de arquiteturas e padrões abertos reduz a dependência de soluções proprietárias (Belli et al., 2026b, p. 73), e resta examinar a viabilidade de um marco brasileiro de soberania em nuvem com exigências de diversificação e planos de saída, ausentes do marco europeu (Belli et al., 2026b, p. 52-53).</w:t>
      </w:r>
    </w:p>
    <w:p>
      <w:pPr>
        <w:pStyle w:val="Texto"/>
      </w:pPr>
      <w:r>
        <w:rPr>
          <w:rFonts w:ascii="Times New Roman" w:hAnsi="Times New Roman" w:cs="Times New Roman"/>
          <w:sz w:val="24"/>
          <w:szCs w:val="24"/>
        </w:rPr>
        <w:t xml:space="preserve">O segundo eixo é o mapeamento de dependências setoriais. Os estudos devem identificar setores altamente dependentes de agentes externos e avaliar alternativas nacionais viáveis, começando pelos pontos que o diagnóstico do item 4.3 indicou: a nuvem e o software do setor público; as plataformas utilizadas na educação, cuja conformidade com a LGPD tem sido questionada (Belli et al., 2026b, p. 73); e os serviços essenciais que dependem de um único provedor. Três instrumentos merecem avaliação: compras públicas com critérios de autonomia tecnológica, padrões de interoperabilidade definidos pela autoridade nacional de proteção de dados e pelo órgão central do SISP (Belli et al., 2026b, p. 216-217) e planos de saída obrigatórios em contratos críticos. O critério é a possibilidade de substituição onde ela importa; trocar todos os fornecedores estrangeiros não é objetivo.</w:t>
      </w:r>
    </w:p>
    <w:p>
      <w:pPr>
        <w:pStyle w:val="Texto"/>
      </w:pPr>
      <w:r>
        <w:rPr>
          <w:rFonts w:ascii="Times New Roman" w:hAnsi="Times New Roman" w:cs="Times New Roman"/>
          <w:sz w:val="24"/>
          <w:szCs w:val="24"/>
        </w:rPr>
        <w:t xml:space="preserve">O terceiro eixo trata da segurança pública e da defesa nacional. Parte da distinção, feita no item 4.5, entre um Estado forte sobre os dados e um Estado capaz de se defender sem interferir na liberdade dos usuários. As capacidades existentes são recentes ou concentradas em funções específicas. A Polícia Federal criou em 2023 uma Diretoria de Combate a Crimes Cibernéticos, cuja atuação inicial se voltou sobretudo à repressão do abuso sexual infantojuvenil na internet (Agência Gov, 2023). A Estratégia Nacional de Defesa reconhece a cibernética como capacidade necessária à soberania e atribui o setor ao Exército (Brasil, 2025a), e o Centro Tecnológico do Exército conduz pesquisa em comunicações seguras, guerra eletrônica e inteligência artificial (Belli et al., 2026b, p. 155).</w:t>
      </w:r>
    </w:p>
    <w:p>
      <w:pPr>
        <w:pStyle w:val="Texto"/>
      </w:pPr>
      <w:r>
        <w:rPr>
          <w:rFonts w:ascii="Times New Roman" w:hAnsi="Times New Roman" w:cs="Times New Roman"/>
          <w:sz w:val="24"/>
          <w:szCs w:val="24"/>
        </w:rPr>
        <w:t xml:space="preserve">Os estudos devem avaliar se e como ampliar os investimentos em pesquisa tecnológica nas polícias e nas Forças Armadas para consolidar dois tipos de capacidade: uma capacidade federal de polícia cibernética, que atue também na proteção de infraestruturas críticas, e capacidades nacionais de defesa cibernética e de guerra eletrônica, tendo a Política Nacional de Cibersegurança como instância de coordenação civil (Brasil, 2023a). Como envolve tratamento de dados fora do alcance da LGPD, esse eixo precisa examinar antes três salvaguardas: a legislação específica sobre tratamento de dados para segurança pública e defesa prevista na LGPD (Brasil, 2018, art. 4º, III); a restrição da conta de defesa nacional do FuNSoD a capacidades defensivas, com vedação expressa do financiamento de vigilância da população, conforme o item 4.6; e o controle civil e externo das capacidades desenvolvidas. Sem elas, o eixo contrariaria o objetivo de organizar capacidades civis e de defesa com respeito aos direitos dos usuários.</w:t>
      </w:r>
    </w:p>
    <w:p>
      <w:pPr>
        <w:pStyle w:val="Texto"/>
      </w:pPr>
      <w:r>
        <w:rPr>
          <w:rFonts w:ascii="Times New Roman" w:hAnsi="Times New Roman" w:cs="Times New Roman"/>
          <w:sz w:val="24"/>
          <w:szCs w:val="24"/>
        </w:rPr>
        <w:t xml:space="preserve">Os estudos podem seguir quatro etapas. O diagnóstico mapeia dependências por setor e por componente da DINFRA, a partir das linhas de base do Quadro 3 e dos dados divulgados durante a transição de dois anos do modelo proposto no item 4.5. A experimentação testa alternativas em escala limitada, como migrações-piloto de cargas críticas e contratações com critérios de autonomia tecnológica. A consolidação avalia quais soluções se mostraram viáveis e que critérios poderiam ser incorporados às normas de contratação. A avaliação periódica revisa as prioridades com base nos resultados. A passagem de uma etapa à outra deve depender de critérios explícitos, como a comprovação de que o serviço continua funcionando após uma migração-piloto.</w:t>
      </w:r>
    </w:p>
    <w:p>
      <w:pPr>
        <w:pStyle w:val="Texto"/>
      </w:pPr>
      <w:r>
        <w:rPr>
          <w:rFonts w:ascii="Times New Roman" w:hAnsi="Times New Roman" w:cs="Times New Roman"/>
          <w:sz w:val="24"/>
          <w:szCs w:val="24"/>
        </w:rPr>
        <w:t xml:space="preserve">Os estudos precisam, ainda, converter as dimensões de avaliação em indicadores com fontes e linhas de base. A inserção econômica na cadeia produtiva pode ser acompanhada pelas despesas líquidas com propriedade intelectual e com serviços de telecomunicação, computação e informações e pelo investimento empresarial em pesquisa e desenvolvimento em tecnologias da informação. No fortalecimento da defesa nacional cibernética, contam a capacidade de detecção e resposta a incidentes em infraestruturas críticas e a realização de exercícios conjuntos. As novas alternativas podem ser medidas pela proporção de cargas críticas do Estado com alternativa de provedor e pela adoção de padrões abertos; a capacidade de resposta em crises, pelo tempo de recuperação de serviços essenciais em exercícios e pela existência de planos de saída testados. Metas quantitativas só devem ser fixadas depois do diagnóstico.</w:t>
      </w:r>
    </w:p>
    <w:p>
      <w:pPr>
        <w:pStyle w:val="Texto"/>
      </w:pPr>
      <w:r>
        <w:rPr>
          <w:rFonts w:ascii="Times New Roman" w:hAnsi="Times New Roman" w:cs="Times New Roman"/>
          <w:sz w:val="24"/>
          <w:szCs w:val="24"/>
        </w:rPr>
        <w:t xml:space="preserve">Os estudos não partem do zero. O CITDigital, o SISP, o SINAPAD, as empresas públicas de tecnologia e o próprio poder de compra do Estado oferecem estruturas de coordenação e execução a examinar, e a renovação da Estratégia Brasileira de Transformação Digital, cujo ciclo se encerra em 2026, é uma oportunidade para incorporar essas questões (Belli et al., 2026b, p. 221-222). Os limites de qualquer plano futuro estarão na coordenação entre órgãos e na estabilidade dos recursos ao longo de diferentes governos, condições que dependem de decisão política e de mecanismos de controle permanentes.</w:t>
      </w:r>
    </w:p>
    <w:p>
      <w:pPr>
        <w:pStyle w:val="Ttulo1"/>
        <w:numPr>
          <w:ilvl w:val="0"/>
          <w:numId w:val="0"/>
        </w:numPr>
        <w:spacing w:before="240" w:after="120" w:line="360" w:lineRule="auto"/>
      </w:pPr>
      <w:r>
        <w:rPr>
          <w:rFonts w:ascii="Times New Roman" w:hAnsi="Times New Roman" w:cs="Times New Roman"/>
          <w:b/>
          <w:bCs/>
          <w:sz w:val="28"/>
          <w:szCs w:val="28"/>
        </w:rPr>
        <w:t xml:space="preserve">5. CONCLUSÃO</w:t>
      </w:r>
    </w:p>
    <w:p>
      <w:pPr>
        <w:pStyle w:val="Texto"/>
      </w:pPr>
      <w:r>
        <w:rPr>
          <w:rFonts w:ascii="Times New Roman" w:hAnsi="Times New Roman" w:cs="Times New Roman"/>
          <w:sz w:val="24"/>
          <w:szCs w:val="24"/>
        </w:rPr>
        <w:t xml:space="preserve">Esta pesquisa perguntou sob quais condições a contribuição dos usuários à formação de recursos informacionais poderia fundamentar direitos de participação nos benefícios econômicos da economia dos dados. A resposta é parcial. A contribuição oferece fundamento consistente quando é tratada em sua dimensão coletiva e quando o direito pretendido assume a forma de participação na governança dos recursos informacionais e na destinação dos benefícios. Esse fundamento enfraquece à medida que se pretende um pagamento individual proporcional, e não chega a alcançar a titularidade estatal sobre os registros dos usuários.</w:t>
      </w:r>
    </w:p>
    <w:p>
      <w:pPr>
        <w:pStyle w:val="Texto"/>
      </w:pPr>
      <w:r>
        <w:rPr>
          <w:rFonts w:ascii="Times New Roman" w:hAnsi="Times New Roman" w:cs="Times New Roman"/>
          <w:sz w:val="24"/>
          <w:szCs w:val="24"/>
        </w:rPr>
        <w:t xml:space="preserve">A hipótese patrimonial coletiva confirma-se apenas em parte. A interdependência das contribuições resiste às objeções de reciprocidade, consentimento e mensuração quando a participação se organiza coletivamente, embora a escolha do critério de participação continue a exigir justificação, e as categorias de direitos coletivos do ordenamento permitem organizar essa participação sem propriedade sobre os registros. Essa parte se sustenta no direito vigente. O componente patrimonial, não. Ele repousa sobre um argumento central, o de que existe um valor coletivo, relacional e populacional, hoje apropriado de fato, com habilitação jurídica, por quem controla as bases, e sobre dois argumentos auxiliares, o econômico e o constitucional, que afastam as soluções de mercado e mostram a compatibilidade da categoria com a Constituição, sem demonstrar que os recursos informacionais a integram. A analogia com o petróleo e a CFEM pressupõe titularidade estatal, que não existe sobre bases privadas. A analogia com o meio ambiente dispensa essa titularidade, mas é estrutural, e não material: os dados não se esgotam, e a compensação só se justifica pelos custos que a retenção efetivamente impõe, isto é, o cercamento do valor de agregação, que exclui a coletividade dos benefícios e da governança, e os riscos e assimetrias criados para titulares e terceiros. Sem reconhecimento normativo, uma cobrança compulsória sobre bases privadas seria tributo e, mesmo com ele, sua natureza não tributária dependeria do juízo dos tribunais. Nessa parte, a hipótese é uma proposta de direito a constituir, que pode ser refutada empiricamente se o valor apropriado se explicar pelo processamento, e não pela base agregada, ou se os custos da retenção se mostrarem desprezíveis.</w:t>
      </w:r>
    </w:p>
    <w:p>
      <w:pPr>
        <w:pStyle w:val="Texto"/>
      </w:pPr>
      <w:r>
        <w:rPr>
          <w:rFonts w:ascii="Times New Roman" w:hAnsi="Times New Roman" w:cs="Times New Roman"/>
          <w:sz w:val="24"/>
          <w:szCs w:val="24"/>
        </w:rPr>
        <w:t xml:space="preserve">O exame dos riscos dá à hipótese o peso que a discussão sobre valor, sozinha, não daria. Registros comportamentais de centenas de milhões de brasileiros são armazenados, processados, transferidos ao exterior e combinados em bases diversas, sem que a coletividade que os gera participe das decisões sobre eles. A retenção expõe titulares e terceiros, a externalidade deprime o preço dos dados, e a infraestrutura privada de comunicação já serviu para mobilizar e amplificar ataques a instituições democráticas, ainda que a causalidade algorítmica não esteja provada. A relação em que esses registros são produzidos é assimétrica e mediada por contratos de adesão. Nada disso cria, por si, o patrimônio coletivo, mas justifica que a compensação se destine à coletividade e à redução de riscos, que não funcione como licença e que o regime seja rígido. Como mostra o mercado de apostas, regular depois que os custos sociais se consolidam é regular tarde; a hipótese patrimonial coletiva é, nesse sentido, uma proposta de antecipação.</w:t>
      </w:r>
    </w:p>
    <w:p>
      <w:pPr>
        <w:pStyle w:val="Texto"/>
      </w:pPr>
      <w:r>
        <w:rPr>
          <w:rFonts w:ascii="Times New Roman" w:hAnsi="Times New Roman" w:cs="Times New Roman"/>
          <w:sz w:val="24"/>
          <w:szCs w:val="24"/>
        </w:rPr>
        <w:t xml:space="preserve">O modelo proposto organiza em etapas a passagem do direito vigente à proposta. Começa pelo que já se sustenta: a compensação sobre bases públicas, as regulações de mercado e a transparência integral do processamento, com limites de retenção e rastreabilidade das transferências internacionais e dos cruzamentos de bases. Atravessa, em seguida, uma transição de dois anos, com divulgação obrigatória de dados, mesas de diálogo e fiscalização rigorosa pelo CONGRI, órgão de governança com braços de auditoria e de cooperação policial. Só então torna obrigatória a compensação sobre o armazenamento de dados de usuários por controladores privados, com deduções por investimentos em pesquisa, indústria, formação e transferência de tecnologia, compensação cuja forma não tributária depende do reconhecimento normativo. O armazenamento entra no modelo como indicador verificável do aproveitamento, e não como sua medida; por isso, o valor por titular varia com o porte, o tipo de uso e o risco e deve ser calibrado pelas receitas informadas na transição. Para quem guarda dados apenas em operações próprias, o indicador continua fraco, e esse é o ponto mais vulnerável do desenho. O pagamento individual permanece como horizonte teórico. A hipótese descreve, assim, um regime de patrimônio coletivo sobre os recursos informacionais, administrado em favor da coletividade, e não um direito patrimonial do Estado ou dos usuários sobre os dados.</w:t>
      </w:r>
    </w:p>
    <w:p>
      <w:pPr>
        <w:pStyle w:val="Texto"/>
      </w:pPr>
      <w:r>
        <w:rPr>
          <w:rFonts w:ascii="Times New Roman" w:hAnsi="Times New Roman" w:cs="Times New Roman"/>
          <w:sz w:val="24"/>
          <w:szCs w:val="24"/>
        </w:rPr>
        <w:t xml:space="preserve">A segunda parte da pergunta, relativa à destinação, tem resposta independente da primeira. Os instrumentos brasileiros apresentam duas insuficiências: falta um vínculo jurídico entre a contribuição dos usuários e a apropriação dos resultados, e os instrumentos voltados à soberania digital estão dispersos entre órgãos e regimes. A segunda pode ser enfrentada qualquer que seja o destino da hipótese. Por isso, a agenda de estudos proposta para um Plano Nacional de Soberania Digital parte de capacidades viáveis com recursos orçamentários, fundos existentes e compras públicas e trata a repartição como fonte possível, não como condição. A destinação de eventuais recursos continua a ser uma finalidade a avaliar, medida pela ampliação da capacidade de operar, manter, adaptar e substituir soluções relevantes, e não pela simples expansão de equipamentos. O artigo propõe organizá-la em três DINFRAs nacionais, de defesa nacional, de defesa econômica e de proteção do usuário, financiadas por um fundo com contas segregadas, critérios rígidos de aplicação e gestão rotativa, sob um órgão de governança em que o Poder Executivo não detém maioria e as decisões centrais exigem maioria qualificada, com voto dos representantes dos usuários. A estimativa das receitas fica para depois da transição, quando houver dados divulgados que a sustentem.</w:t>
      </w:r>
    </w:p>
    <w:p>
      <w:pPr>
        <w:pStyle w:val="Texto"/>
      </w:pPr>
      <w:r>
        <w:rPr>
          <w:rFonts w:ascii="Times New Roman" w:hAnsi="Times New Roman" w:cs="Times New Roman"/>
          <w:sz w:val="24"/>
          <w:szCs w:val="24"/>
        </w:rPr>
        <w:t xml:space="preserve">A contribuição do artigo é sobretudo analítica. Ao separar contribuição coletiva e titularidade, interesse público e propriedade estatal, titularidade de dados pessoais e propriedade, finalidade e fundamento, o trabalho oferece critérios para avaliar propostas de repartição pelo que efetivamente instituem, qualquer que seja o nome adotado. A noção de DINFRA reúne componentes físicos, ativos intangíveis e relações de controle. Com isso, distingue a capacidade instalada da capacidade efetivamente utilizável e mostra que a dependência computacional pode persistir mesmo quando os equipamentos estão no território nacional. O conceito de comodidade computacional descreve como a conveniência do uso continuado aprofunda essa dependência aos poucos. Dele decorrem dois problemas distintos: o da concentração, em que alternativas formais não se convertem em substituição efetiva, e o da continuidade, que expõe qualquer atividade dependente a decisões de terceiros. A comparação entre modelos de repartição, por sua vez, organiza alternativas que o debate costuma apresentar de forma isolada.</w:t>
      </w:r>
    </w:p>
    <w:p>
      <w:pPr>
        <w:pStyle w:val="Texto"/>
      </w:pPr>
      <w:r>
        <w:rPr>
          <w:rFonts w:ascii="Times New Roman" w:hAnsi="Times New Roman" w:cs="Times New Roman"/>
          <w:sz w:val="24"/>
          <w:szCs w:val="24"/>
        </w:rPr>
        <w:t xml:space="preserve">O artigo propõe, ainda, ler a soberania digital a partir de três pilares, a defesa nacional, a defesa econômica e a defesa dos direitos, e de um paradoxo entre eles. A concentração do controle em poucas empresas e o controle estatal sem garantias, que as experiências chinesa e russa ilustram, sacrificam, por caminhos opostos, algum desses pilares. A saída está em uma soberania centrada nos direitos dos usuários: em sua liberdade, sua privacidade, sua segurança e sua participação democrática na governança.</w:t>
      </w:r>
    </w:p>
    <w:p>
      <w:pPr>
        <w:pStyle w:val="Texto"/>
      </w:pPr>
      <w:r>
        <w:rPr>
          <w:rFonts w:ascii="Times New Roman" w:hAnsi="Times New Roman" w:cs="Times New Roman"/>
          <w:sz w:val="24"/>
          <w:szCs w:val="24"/>
        </w:rPr>
        <w:t xml:space="preserve">Os resultados têm limites. Dependem de dados secundários e esbarram nas dificuldades de mensurar territorialmente as atividades digitais, o que impede quantificar a parcela do valor associada aos registros de usuários brasileiros. O quadro normativo examinado está em transformação, com proposições em tramitação, regimes provisórios e negociações internacionais em curso. E as conclusões sobre a natureza jurídica das obrigações, por decorrerem de análise doutrinária e documental, só se confirmam diante do desenho concreto de cada instrumento.</w:t>
      </w:r>
    </w:p>
    <w:p>
      <w:pPr>
        <w:pStyle w:val="Texto"/>
      </w:pPr>
      <w:r>
        <w:rPr>
          <w:rFonts w:ascii="Times New Roman" w:hAnsi="Times New Roman" w:cs="Times New Roman"/>
          <w:sz w:val="24"/>
          <w:szCs w:val="24"/>
        </w:rPr>
        <w:t xml:space="preserve">Desses limites decorrem três linhas de pesquisa sobre a própria hipótese, que se somam à agenda sobre capacidades nacionais reunida no item 4.7. A primeira é empírica e testa as condições de refutação: verificar, com os dados divulgados na transição, se o valor apropriado pelos controladores se explica pela base agregada ou pelo processamento, por exemplo pelo custo de formar bases equivalentes, e estimar os custos que a retenção impõe a titulares e terceiros. A segunda é jurídica e institucional: definir a forma normativa capaz de dar aos recursos informacionais o caráter de patrimônio coletivo, examinar se ela resistiria à requalificação como tributo e desenhar regimes de governança coletiva a partir da defesa coletiva prevista na LGPD, com representação dos usuários e salvaguardas contra a captura. A terceira é econômica: calibrar o valor por titular pelo aproveitamento em cada tipo de uso, avaliar o efeito das deduções sobre investimentos e receitas e fixar, a partir das linhas de base, as metas de distribuição dos mercados. Em todas elas, permanece aberta a questão de quem deve participar das decisões sobre recursos informacionais formados pela contribuição de muitos usuários.</w:t>
      </w:r>
    </w:p>
    <w:p>
      <w:pPr>
        <w:pStyle w:val="TtuloCentralizadoResumo"/>
        <w:spacing w:before="480" w:after="120" w:line="360" w:lineRule="auto"/>
        <w:jc w:val="left"/>
      </w:pPr>
      <w:r>
        <w:rPr>
          <w:rFonts w:ascii="Times New Roman" w:hAnsi="Times New Roman" w:cs="Times New Roman"/>
          <w:b/>
          <w:bCs/>
          <w:sz w:val="28"/>
          <w:szCs w:val="28"/>
        </w:rPr>
        <w:t xml:space="preserve">REFERÊNCIAS BIBLIOGRÁFICAS</w:t>
      </w:r>
    </w:p>
    <w:p>
      <w:pPr>
        <w:spacing w:before="0" w:after="240" w:line="240" w:lineRule="auto"/>
        <w:jc w:val="left"/>
      </w:pPr>
      <w:r>
        <w:rPr>
          <w:rFonts w:ascii="Times New Roman" w:hAnsi="Times New Roman" w:cs="Times New Roman"/>
          <w:sz w:val="24"/>
          <w:szCs w:val="24"/>
        </w:rPr>
        <w:t xml:space="preserve">ACEMOGLU, Daron; MAKHDOUMI, Ali; MALEKIAN, Azarakhsh; OZDAGLAR, Asuman. Too much data: prices and inefficiencies in data markets. </w:t>
      </w:r>
      <w:r>
        <w:rPr>
          <w:rFonts w:ascii="Times New Roman" w:hAnsi="Times New Roman" w:cs="Times New Roman"/>
          <w:b/>
          <w:bCs/>
          <w:sz w:val="24"/>
          <w:szCs w:val="24"/>
        </w:rPr>
        <w:t xml:space="preserve">American Economic Journal: Microeconomics</w:t>
      </w:r>
      <w:r>
        <w:rPr>
          <w:rFonts w:ascii="Times New Roman" w:hAnsi="Times New Roman" w:cs="Times New Roman"/>
          <w:sz w:val="24"/>
          <w:szCs w:val="24"/>
        </w:rPr>
        <w:t xml:space="preserve">, Nashville, v. 14, n. 4, p. 218-256, 2022.</w:t>
      </w:r>
    </w:p>
    <w:p>
      <w:pPr>
        <w:spacing w:before="0" w:after="240" w:line="240" w:lineRule="auto"/>
        <w:jc w:val="left"/>
      </w:pPr>
      <w:r>
        <w:rPr>
          <w:rFonts w:ascii="Times New Roman" w:hAnsi="Times New Roman" w:cs="Times New Roman"/>
          <w:sz w:val="24"/>
          <w:szCs w:val="24"/>
        </w:rPr>
        <w:t xml:space="preserve">AGÊNCIA GOV. </w:t>
      </w:r>
      <w:r>
        <w:rPr>
          <w:rFonts w:ascii="Times New Roman" w:hAnsi="Times New Roman" w:cs="Times New Roman"/>
          <w:b/>
          <w:bCs/>
          <w:sz w:val="24"/>
          <w:szCs w:val="24"/>
        </w:rPr>
        <w:t xml:space="preserve">Com nova diretoria, PF intensifica combate ao abuso sexual infantojuvenil</w:t>
      </w:r>
      <w:r>
        <w:rPr>
          <w:rFonts w:ascii="Times New Roman" w:hAnsi="Times New Roman" w:cs="Times New Roman"/>
          <w:sz w:val="24"/>
          <w:szCs w:val="24"/>
        </w:rPr>
        <w:t xml:space="preserve">. Brasília, DF: EBC, jul. 2023. Disponível em: https://agenciagov.ebc.com.br/noticias/202307/com-nova-diretoria-pf-intensifica-combate-ao-abuso-sexual-infantojuvenil. Acesso em: 2 out. 2026.</w:t>
      </w:r>
    </w:p>
    <w:p>
      <w:pPr>
        <w:spacing w:before="0" w:after="240" w:line="240" w:lineRule="auto"/>
        <w:jc w:val="left"/>
      </w:pPr>
      <w:r>
        <w:rPr>
          <w:rFonts w:ascii="Times New Roman" w:hAnsi="Times New Roman" w:cs="Times New Roman"/>
          <w:sz w:val="24"/>
          <w:szCs w:val="24"/>
        </w:rPr>
        <w:t xml:space="preserve">ARRIETA-IBARRA, Imanol; GOFF, Leonard; JIMÉNEZ-HERNÁNDEZ, Diego; LANIER, Jaron; WEYL, E. Glen. Should we treat data as labor? Moving beyond “free”. </w:t>
      </w:r>
      <w:r>
        <w:rPr>
          <w:rFonts w:ascii="Times New Roman" w:hAnsi="Times New Roman" w:cs="Times New Roman"/>
          <w:b/>
          <w:bCs/>
          <w:sz w:val="24"/>
          <w:szCs w:val="24"/>
        </w:rPr>
        <w:t xml:space="preserve">AEA Papers and Proceedings</w:t>
      </w:r>
      <w:r>
        <w:rPr>
          <w:rFonts w:ascii="Times New Roman" w:hAnsi="Times New Roman" w:cs="Times New Roman"/>
          <w:sz w:val="24"/>
          <w:szCs w:val="24"/>
        </w:rPr>
        <w:t xml:space="preserve">, Nashville, v. 108, p. 38-42, 2018. DOI: 10.1257/pandp.20181003.</w:t>
      </w:r>
    </w:p>
    <w:p>
      <w:pPr>
        <w:spacing w:before="0" w:after="240" w:line="240" w:lineRule="auto"/>
        <w:jc w:val="left"/>
      </w:pPr>
      <w:r>
        <w:rPr>
          <w:rFonts w:ascii="Times New Roman" w:hAnsi="Times New Roman" w:cs="Times New Roman"/>
          <w:sz w:val="24"/>
          <w:szCs w:val="24"/>
        </w:rPr>
        <w:t xml:space="preserve">AUTORIDADE NACIONAL DE PROTEÇÃO DE DADOS (Brasil). </w:t>
      </w:r>
      <w:r>
        <w:rPr>
          <w:rFonts w:ascii="Times New Roman" w:hAnsi="Times New Roman" w:cs="Times New Roman"/>
          <w:b/>
          <w:bCs/>
          <w:sz w:val="24"/>
          <w:szCs w:val="24"/>
        </w:rPr>
        <w:t xml:space="preserve">Resolução CD/ANPD nº 19, de 23 de agosto de 2024</w:t>
      </w:r>
      <w:r>
        <w:rPr>
          <w:rFonts w:ascii="Times New Roman" w:hAnsi="Times New Roman" w:cs="Times New Roman"/>
          <w:sz w:val="24"/>
          <w:szCs w:val="24"/>
        </w:rPr>
        <w:t xml:space="preserve">. Aprova o Regulamento de Transferência Internacional de Dados e o conteúdo das cláusulas-padrão contratuais. Brasília, DF: ANPD, 2024.</w:t>
      </w:r>
    </w:p>
    <w:p>
      <w:pPr>
        <w:spacing w:before="0" w:after="240" w:line="240" w:lineRule="auto"/>
        <w:jc w:val="left"/>
      </w:pPr>
      <w:r>
        <w:rPr>
          <w:rFonts w:ascii="Times New Roman" w:hAnsi="Times New Roman" w:cs="Times New Roman"/>
          <w:sz w:val="24"/>
          <w:szCs w:val="24"/>
        </w:rPr>
        <w:t xml:space="preserve">BANCO CENTRAL DO BRASIL. </w:t>
      </w:r>
      <w:r>
        <w:rPr>
          <w:rFonts w:ascii="Times New Roman" w:hAnsi="Times New Roman" w:cs="Times New Roman"/>
          <w:b/>
          <w:bCs/>
          <w:sz w:val="24"/>
          <w:szCs w:val="24"/>
        </w:rPr>
        <w:t xml:space="preserve">Análise técnica sobre o mercado de apostas online no Brasil e o perfil dos apostadores</w:t>
      </w:r>
      <w:r>
        <w:rPr>
          <w:rFonts w:ascii="Times New Roman" w:hAnsi="Times New Roman" w:cs="Times New Roman"/>
          <w:sz w:val="24"/>
          <w:szCs w:val="24"/>
        </w:rPr>
        <w:t xml:space="preserve">. Brasília, DF: BCB, set. 2024. (Estudo Especial, n. 119).</w:t>
      </w:r>
    </w:p>
    <w:p>
      <w:pPr>
        <w:spacing w:before="0" w:after="240" w:line="240" w:lineRule="auto"/>
        <w:jc w:val="left"/>
      </w:pPr>
      <w:r>
        <w:rPr>
          <w:rFonts w:ascii="Times New Roman" w:hAnsi="Times New Roman" w:cs="Times New Roman"/>
          <w:sz w:val="24"/>
          <w:szCs w:val="24"/>
        </w:rPr>
        <w:t xml:space="preserve">BANCO CENTRAL DO BRASIL. </w:t>
      </w:r>
      <w:r>
        <w:rPr>
          <w:rFonts w:ascii="Times New Roman" w:hAnsi="Times New Roman" w:cs="Times New Roman"/>
          <w:b/>
          <w:bCs/>
          <w:sz w:val="24"/>
          <w:szCs w:val="24"/>
        </w:rPr>
        <w:t xml:space="preserve">Estatísticas do setor externo</w:t>
      </w:r>
      <w:r>
        <w:rPr>
          <w:rFonts w:ascii="Times New Roman" w:hAnsi="Times New Roman" w:cs="Times New Roman"/>
          <w:sz w:val="24"/>
          <w:szCs w:val="24"/>
        </w:rPr>
        <w:t xml:space="preserve">: nota para a imprensa. Brasília, DF: BCB, 2026. Disponível em: https://www.bcb.gov.br/content/estatisticas/hist_estatisticassetorexterno/202601_Texto_de_estatisticas_do_setor_externo.pdf. Acesso em: 1 out. 2026.</w:t>
      </w:r>
    </w:p>
    <w:p>
      <w:pPr>
        <w:spacing w:before="0" w:after="240" w:line="240" w:lineRule="auto"/>
        <w:jc w:val="left"/>
      </w:pPr>
      <w:r>
        <w:rPr>
          <w:rFonts w:ascii="Times New Roman" w:hAnsi="Times New Roman" w:cs="Times New Roman"/>
          <w:sz w:val="24"/>
          <w:szCs w:val="24"/>
        </w:rPr>
        <w:t xml:space="preserve">BELLI, Luca; FOSSATI, Gustavo; MCCLASKEY, Layla; ZINGALES, Nicolo. </w:t>
      </w:r>
      <w:r>
        <w:rPr>
          <w:rFonts w:ascii="Times New Roman" w:hAnsi="Times New Roman" w:cs="Times New Roman"/>
          <w:b/>
          <w:bCs/>
          <w:sz w:val="24"/>
          <w:szCs w:val="24"/>
        </w:rPr>
        <w:t xml:space="preserve">Proteção, tributação e equidade de dados</w:t>
      </w:r>
      <w:r>
        <w:rPr>
          <w:rFonts w:ascii="Times New Roman" w:hAnsi="Times New Roman" w:cs="Times New Roman"/>
          <w:sz w:val="24"/>
          <w:szCs w:val="24"/>
        </w:rPr>
        <w:t xml:space="preserve">: equilibrando valores, riscos e obrigações na economia digital. Rio de Janeiro: Lumen Juris, 2026a.</w:t>
      </w:r>
    </w:p>
    <w:p>
      <w:pPr>
        <w:spacing w:before="0" w:after="240" w:line="240" w:lineRule="auto"/>
        <w:jc w:val="left"/>
      </w:pPr>
      <w:r>
        <w:rPr>
          <w:rFonts w:ascii="Times New Roman" w:hAnsi="Times New Roman" w:cs="Times New Roman"/>
          <w:sz w:val="24"/>
          <w:szCs w:val="24"/>
        </w:rPr>
        <w:t xml:space="preserve">BELLI, Luca; GASPAR, Walter Britto; COUTO, Natália; MEDEIROS, Breno Pauli; ZINGALES, Nicolo; JOHANSSON, Germano; BAKONYI, Erica; MEDON, Filipe. </w:t>
      </w:r>
      <w:r>
        <w:rPr>
          <w:rFonts w:ascii="Times New Roman" w:hAnsi="Times New Roman" w:cs="Times New Roman"/>
          <w:b/>
          <w:bCs/>
          <w:sz w:val="24"/>
          <w:szCs w:val="24"/>
        </w:rPr>
        <w:t xml:space="preserve">Soberania digital e inteligência artificial no Brasil</w:t>
      </w:r>
      <w:r>
        <w:rPr>
          <w:rFonts w:ascii="Times New Roman" w:hAnsi="Times New Roman" w:cs="Times New Roman"/>
          <w:sz w:val="24"/>
          <w:szCs w:val="24"/>
        </w:rPr>
        <w:t xml:space="preserve">: rumo à autonomia tecnológica. Rio de Janeiro: Lumen Juris, 2026b.</w:t>
      </w:r>
    </w:p>
    <w:p>
      <w:pPr>
        <w:spacing w:before="0" w:after="240" w:line="240" w:lineRule="auto"/>
        <w:jc w:val="left"/>
      </w:pPr>
      <w:r>
        <w:rPr>
          <w:rFonts w:ascii="Times New Roman" w:hAnsi="Times New Roman" w:cs="Times New Roman"/>
          <w:sz w:val="24"/>
          <w:szCs w:val="24"/>
        </w:rPr>
        <w:t xml:space="preserve">BEN-SHAHAR, Omri. Data pollution. </w:t>
      </w:r>
      <w:r>
        <w:rPr>
          <w:rFonts w:ascii="Times New Roman" w:hAnsi="Times New Roman" w:cs="Times New Roman"/>
          <w:b/>
          <w:bCs/>
          <w:sz w:val="24"/>
          <w:szCs w:val="24"/>
        </w:rPr>
        <w:t xml:space="preserve">Journal of Legal Analysis</w:t>
      </w:r>
      <w:r>
        <w:rPr>
          <w:rFonts w:ascii="Times New Roman" w:hAnsi="Times New Roman" w:cs="Times New Roman"/>
          <w:sz w:val="24"/>
          <w:szCs w:val="24"/>
        </w:rPr>
        <w:t xml:space="preserve">, Oxford, v. 11, p. 104-159, 2019. DOI: 10.1093/jla/laz005.</w:t>
      </w:r>
    </w:p>
    <w:p>
      <w:pPr>
        <w:spacing w:before="0" w:after="240" w:line="240" w:lineRule="auto"/>
        <w:jc w:val="left"/>
      </w:pPr>
      <w:r>
        <w:rPr>
          <w:rFonts w:ascii="Times New Roman" w:hAnsi="Times New Roman" w:cs="Times New Roman"/>
          <w:sz w:val="24"/>
          <w:szCs w:val="24"/>
        </w:rPr>
        <w:t xml:space="preserve">BERGEMANN, Dirk; BONATTI, Alessandro; GAN, Tan. The economics of social data. </w:t>
      </w:r>
      <w:r>
        <w:rPr>
          <w:rFonts w:ascii="Times New Roman" w:hAnsi="Times New Roman" w:cs="Times New Roman"/>
          <w:b/>
          <w:bCs/>
          <w:sz w:val="24"/>
          <w:szCs w:val="24"/>
        </w:rPr>
        <w:t xml:space="preserve">The RAND Journal of Economics</w:t>
      </w:r>
      <w:r>
        <w:rPr>
          <w:rFonts w:ascii="Times New Roman" w:hAnsi="Times New Roman" w:cs="Times New Roman"/>
          <w:sz w:val="24"/>
          <w:szCs w:val="24"/>
        </w:rPr>
        <w:t xml:space="preserve">, [s. l.], v. 53, n. 2, p. 263-296, 2022. DOI: 10.1111/1756-2171.12407.</w:t>
      </w:r>
    </w:p>
    <w:p>
      <w:pPr>
        <w:spacing w:before="0" w:after="240" w:line="240" w:lineRule="auto"/>
        <w:jc w:val="left"/>
      </w:pPr>
      <w:r>
        <w:rPr>
          <w:rFonts w:ascii="Times New Roman" w:hAnsi="Times New Roman" w:cs="Times New Roman"/>
          <w:sz w:val="24"/>
          <w:szCs w:val="24"/>
        </w:rPr>
        <w:t xml:space="preserve">BIRCH, Kean; COCHRANE, D. T.; WARD, Callum. Data as asset? The measurement, governance, and valuation of digital personal data by Big Tech. </w:t>
      </w:r>
      <w:r>
        <w:rPr>
          <w:rFonts w:ascii="Times New Roman" w:hAnsi="Times New Roman" w:cs="Times New Roman"/>
          <w:b/>
          <w:bCs/>
          <w:sz w:val="24"/>
          <w:szCs w:val="24"/>
        </w:rPr>
        <w:t xml:space="preserve">Big Data &amp; Society</w:t>
      </w:r>
      <w:r>
        <w:rPr>
          <w:rFonts w:ascii="Times New Roman" w:hAnsi="Times New Roman" w:cs="Times New Roman"/>
          <w:sz w:val="24"/>
          <w:szCs w:val="24"/>
        </w:rPr>
        <w:t xml:space="preserve">, [s. l.], v. 8, n. 1, 2021. DOI: 10.1177/20539517211017308.</w:t>
      </w:r>
    </w:p>
    <w:p>
      <w:pPr>
        <w:spacing w:before="0" w:after="240" w:line="240" w:lineRule="auto"/>
        <w:jc w:val="left"/>
      </w:pPr>
      <w:r>
        <w:rPr>
          <w:rFonts w:ascii="Times New Roman" w:hAnsi="Times New Roman" w:cs="Times New Roman"/>
          <w:sz w:val="24"/>
          <w:szCs w:val="24"/>
        </w:rPr>
        <w:t xml:space="preserve">BRASIL. Congresso Nacional. Comissão Parlamentar Mista de Inquérito dos Atos de 8 de Janeiro de 2023. </w:t>
      </w:r>
      <w:r>
        <w:rPr>
          <w:rFonts w:ascii="Times New Roman" w:hAnsi="Times New Roman" w:cs="Times New Roman"/>
          <w:b/>
          <w:bCs/>
          <w:sz w:val="24"/>
          <w:szCs w:val="24"/>
        </w:rPr>
        <w:t xml:space="preserve">Relatório final</w:t>
      </w:r>
      <w:r>
        <w:rPr>
          <w:rFonts w:ascii="Times New Roman" w:hAnsi="Times New Roman" w:cs="Times New Roman"/>
          <w:sz w:val="24"/>
          <w:szCs w:val="24"/>
        </w:rPr>
        <w:t xml:space="preserve">. Relatora: Senadora Eliziane Gama. Brasília, DF: Congresso Nacional, 2023c.</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14.790, de 29 de dezembro de 2023</w:t>
      </w:r>
      <w:r>
        <w:rPr>
          <w:rFonts w:ascii="Times New Roman" w:hAnsi="Times New Roman" w:cs="Times New Roman"/>
          <w:sz w:val="24"/>
          <w:szCs w:val="24"/>
        </w:rPr>
        <w:t xml:space="preserve">. Dispõe sobre a modalidade lotérica denominada apostas de quota fixa. Brasília, DF: Presidência da República, 2023b.</w:t>
      </w:r>
    </w:p>
    <w:p>
      <w:pPr>
        <w:spacing w:before="0" w:after="240" w:line="240" w:lineRule="auto"/>
        <w:jc w:val="left"/>
      </w:pPr>
      <w:r>
        <w:rPr>
          <w:rFonts w:ascii="Times New Roman" w:hAnsi="Times New Roman" w:cs="Times New Roman"/>
          <w:sz w:val="24"/>
          <w:szCs w:val="24"/>
        </w:rPr>
        <w:t xml:space="preserve">BRASIL. Procuradoria-Geral da República. </w:t>
      </w:r>
      <w:r>
        <w:rPr>
          <w:rFonts w:ascii="Times New Roman" w:hAnsi="Times New Roman" w:cs="Times New Roman"/>
          <w:b/>
          <w:bCs/>
          <w:sz w:val="24"/>
          <w:szCs w:val="24"/>
        </w:rPr>
        <w:t xml:space="preserve">Atos antidemocráticos</w:t>
      </w:r>
      <w:r>
        <w:rPr>
          <w:rFonts w:ascii="Times New Roman" w:hAnsi="Times New Roman" w:cs="Times New Roman"/>
          <w:sz w:val="24"/>
          <w:szCs w:val="24"/>
        </w:rPr>
        <w:t xml:space="preserve">: PGR apresenta primeira denúncia contra financiadores do 8 de janeiro. Brasília, DF: PGR, 14 dez. 2023d.</w:t>
      </w:r>
    </w:p>
    <w:p>
      <w:pPr>
        <w:spacing w:before="0" w:after="240" w:line="240" w:lineRule="auto"/>
        <w:jc w:val="left"/>
      </w:pPr>
      <w:r>
        <w:rPr>
          <w:rFonts w:ascii="Times New Roman" w:hAnsi="Times New Roman" w:cs="Times New Roman"/>
          <w:sz w:val="24"/>
          <w:szCs w:val="24"/>
        </w:rPr>
        <w:t xml:space="preserve">BRASIL. Supremo Tribunal Federal (Tribunal Pleno). </w:t>
      </w:r>
      <w:r>
        <w:rPr>
          <w:rFonts w:ascii="Times New Roman" w:hAnsi="Times New Roman" w:cs="Times New Roman"/>
          <w:b/>
          <w:bCs/>
          <w:sz w:val="24"/>
          <w:szCs w:val="24"/>
        </w:rPr>
        <w:t xml:space="preserve">Recursos Extraordinários nº 1.037.396 (Tema 987) e nº 1.057.258 (Tema 533)</w:t>
      </w:r>
      <w:r>
        <w:rPr>
          <w:rFonts w:ascii="Times New Roman" w:hAnsi="Times New Roman" w:cs="Times New Roman"/>
          <w:sz w:val="24"/>
          <w:szCs w:val="24"/>
        </w:rPr>
        <w:t xml:space="preserve">. Julgamento em jun. 2025. Brasília, DF: STF, 2025f.</w:t>
      </w:r>
    </w:p>
    <w:p>
      <w:pPr>
        <w:spacing w:before="0" w:after="240" w:line="240" w:lineRule="auto"/>
        <w:jc w:val="left"/>
      </w:pPr>
      <w:r>
        <w:rPr>
          <w:rFonts w:ascii="Times New Roman" w:hAnsi="Times New Roman" w:cs="Times New Roman"/>
          <w:sz w:val="24"/>
          <w:szCs w:val="24"/>
        </w:rPr>
        <w:t xml:space="preserve">BRASIL. Tribunal Superior Eleitoral. </w:t>
      </w:r>
      <w:r>
        <w:rPr>
          <w:rFonts w:ascii="Times New Roman" w:hAnsi="Times New Roman" w:cs="Times New Roman"/>
          <w:b/>
          <w:bCs/>
          <w:sz w:val="24"/>
          <w:szCs w:val="24"/>
        </w:rPr>
        <w:t xml:space="preserve">Ações de Investigação Judicial Eleitoral nº 0601968-80 e nº 0601771-28</w:t>
      </w:r>
      <w:r>
        <w:rPr>
          <w:rFonts w:ascii="Times New Roman" w:hAnsi="Times New Roman" w:cs="Times New Roman"/>
          <w:sz w:val="24"/>
          <w:szCs w:val="24"/>
        </w:rPr>
        <w:t xml:space="preserve">. Relator: Min. Luis Felipe Salomão. Brasília, DF: TSE, 28 out. 2021.</w:t>
      </w:r>
    </w:p>
    <w:p>
      <w:pPr>
        <w:spacing w:before="0" w:after="240" w:line="240" w:lineRule="auto"/>
        <w:jc w:val="left"/>
      </w:pPr>
      <w:r>
        <w:rPr>
          <w:rFonts w:ascii="Times New Roman" w:hAnsi="Times New Roman" w:cs="Times New Roman"/>
          <w:sz w:val="24"/>
          <w:szCs w:val="24"/>
        </w:rPr>
        <w:t xml:space="preserve">BRASIL. [Constituição (1988)]. </w:t>
      </w:r>
      <w:r>
        <w:rPr>
          <w:rFonts w:ascii="Times New Roman" w:hAnsi="Times New Roman" w:cs="Times New Roman"/>
          <w:b/>
          <w:bCs/>
          <w:sz w:val="24"/>
          <w:szCs w:val="24"/>
        </w:rPr>
        <w:t xml:space="preserve">Constituição da República Federativa do Brasil de 1988</w:t>
      </w:r>
      <w:r>
        <w:rPr>
          <w:rFonts w:ascii="Times New Roman" w:hAnsi="Times New Roman" w:cs="Times New Roman"/>
          <w:sz w:val="24"/>
          <w:szCs w:val="24"/>
        </w:rPr>
        <w:t xml:space="preserve">. Brasília, DF: Presidência da República, 1988.</w:t>
      </w:r>
    </w:p>
    <w:p>
      <w:pPr>
        <w:spacing w:before="0" w:after="240" w:line="240" w:lineRule="auto"/>
        <w:jc w:val="left"/>
      </w:pPr>
      <w:r>
        <w:rPr>
          <w:rFonts w:ascii="Times New Roman" w:hAnsi="Times New Roman" w:cs="Times New Roman"/>
          <w:sz w:val="24"/>
          <w:szCs w:val="24"/>
        </w:rPr>
        <w:t xml:space="preserve">BRASIL. Decreto nº 11.856, de 26 de dezembro de 2023. Institui a Política Nacional de Cibersegurança e o Comitê Nacional de Cibersegurança. Brasília, DF: Presidência da República, 2023a.</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Decreto nº 12.725, de 18 de novembro de 2025</w:t>
      </w:r>
      <w:r>
        <w:rPr>
          <w:rFonts w:ascii="Times New Roman" w:hAnsi="Times New Roman" w:cs="Times New Roman"/>
          <w:sz w:val="24"/>
          <w:szCs w:val="24"/>
        </w:rPr>
        <w:t xml:space="preserve">. Aprova a Política Nacional de Defesa, a Estratégia Nacional de Defesa e o Livro Branco de Defesa Nacional. Brasília, DF: Presidência da República, 2025a.</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Decreto nº 4.829, de 3 de setembro de 2003</w:t>
      </w:r>
      <w:r>
        <w:rPr>
          <w:rFonts w:ascii="Times New Roman" w:hAnsi="Times New Roman" w:cs="Times New Roman"/>
          <w:sz w:val="24"/>
          <w:szCs w:val="24"/>
        </w:rPr>
        <w:t xml:space="preserve">. Dispõe sobre a criação do Comitê Gestor da Internet no Brasil - CGIbr, sobre o modelo de governança da Internet no Brasil, e dá outras providências. Brasília, DF: Presidência da República, 2003.</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Complementar nº 101, de 4 de maio de 2000</w:t>
      </w:r>
      <w:r>
        <w:rPr>
          <w:rFonts w:ascii="Times New Roman" w:hAnsi="Times New Roman" w:cs="Times New Roman"/>
          <w:sz w:val="24"/>
          <w:szCs w:val="24"/>
        </w:rPr>
        <w:t xml:space="preserve">. Estabelece normas de finanças públicas voltadas para a responsabilidade na gestão fiscal e dá outras providências. Brasília, DF: Presidência da República, 2000e.</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5.172, de 25 de outubro de 1966</w:t>
      </w:r>
      <w:r>
        <w:rPr>
          <w:rFonts w:ascii="Times New Roman" w:hAnsi="Times New Roman" w:cs="Times New Roman"/>
          <w:sz w:val="24"/>
          <w:szCs w:val="24"/>
        </w:rPr>
        <w:t xml:space="preserve">. Dispõe sobre o Sistema Tributário Nacional e institui normas gerais de direito tributário aplicáveis à União, Estados e Municípios. Brasília, DF: Presidência da República, 1966.</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6.938, de 31 de agosto de 1981</w:t>
      </w:r>
      <w:r>
        <w:rPr>
          <w:rFonts w:ascii="Times New Roman" w:hAnsi="Times New Roman" w:cs="Times New Roman"/>
          <w:sz w:val="24"/>
          <w:szCs w:val="24"/>
        </w:rPr>
        <w:t xml:space="preserve">. Dispõe sobre a Política Nacional do Meio Ambiente, seus fins e mecanismos de formulação e aplicação, e dá outras providências. Brasília, DF: Presidência da República, 1981.</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8.001, de 13 de março de 1990</w:t>
      </w:r>
      <w:r>
        <w:rPr>
          <w:rFonts w:ascii="Times New Roman" w:hAnsi="Times New Roman" w:cs="Times New Roman"/>
          <w:sz w:val="24"/>
          <w:szCs w:val="24"/>
        </w:rPr>
        <w:t xml:space="preserve">. Define os percentuais da distribuição da compensação financeira de que trata a Lei nº 7.990, de 28 de dezembro de 1989, e dá outras providências. Brasília, DF: Presidência da República, 1990a.</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8.078, de 11 de setembro de 1990</w:t>
      </w:r>
      <w:r>
        <w:rPr>
          <w:rFonts w:ascii="Times New Roman" w:hAnsi="Times New Roman" w:cs="Times New Roman"/>
          <w:sz w:val="24"/>
          <w:szCs w:val="24"/>
        </w:rPr>
        <w:t xml:space="preserve">. Dispõe sobre a proteção do consumidor e dá outras providências. Brasília, DF: Presidência da República, 1990b.</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8.248, de 23 de outubro de 1991</w:t>
      </w:r>
      <w:r>
        <w:rPr>
          <w:rFonts w:ascii="Times New Roman" w:hAnsi="Times New Roman" w:cs="Times New Roman"/>
          <w:sz w:val="24"/>
          <w:szCs w:val="24"/>
        </w:rPr>
        <w:t xml:space="preserve">. Dispõe sobre a capacitação e competitividade do setor de informática e automação, e dá outras providências. Brasília, DF: Presidência da República, 1991.</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9.279, de 14 de maio de 1996</w:t>
      </w:r>
      <w:r>
        <w:rPr>
          <w:rFonts w:ascii="Times New Roman" w:hAnsi="Times New Roman" w:cs="Times New Roman"/>
          <w:sz w:val="24"/>
          <w:szCs w:val="24"/>
        </w:rPr>
        <w:t xml:space="preserve">. Regula direitos e obrigações relativos à propriedade industrial. Brasília, DF: Presidência da República, 1996.</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9.478, de 6 de agosto de 1997</w:t>
      </w:r>
      <w:r>
        <w:rPr>
          <w:rFonts w:ascii="Times New Roman" w:hAnsi="Times New Roman" w:cs="Times New Roman"/>
          <w:sz w:val="24"/>
          <w:szCs w:val="24"/>
        </w:rPr>
        <w:t xml:space="preserve">. Dispõe sobre a política energética nacional, as atividades relativas ao monopólio do petróleo, institui o Conselho Nacional de Política Energética e a Agência Nacional do Petróleo e dá outras providências. Brasília, DF: Presidência da República, 1997.</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9.609, de 19 de fevereiro de 1998</w:t>
      </w:r>
      <w:r>
        <w:rPr>
          <w:rFonts w:ascii="Times New Roman" w:hAnsi="Times New Roman" w:cs="Times New Roman"/>
          <w:sz w:val="24"/>
          <w:szCs w:val="24"/>
        </w:rPr>
        <w:t xml:space="preserve">. Dispõe sobre a proteção da propriedade intelectual de programa de computador, sua comercialização no País, e dá outras providências. Brasília, DF: Presidência da República, 1998a.</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9.610, de 19 de fevereiro de 1998</w:t>
      </w:r>
      <w:r>
        <w:rPr>
          <w:rFonts w:ascii="Times New Roman" w:hAnsi="Times New Roman" w:cs="Times New Roman"/>
          <w:sz w:val="24"/>
          <w:szCs w:val="24"/>
        </w:rPr>
        <w:t xml:space="preserve">. Altera, atualiza e consolida a legislação sobre direitos autorais e dá outras providências. Brasília, DF: Presidência da República, 1998b.</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9.985, de 18 de julho de 2000</w:t>
      </w:r>
      <w:r>
        <w:rPr>
          <w:rFonts w:ascii="Times New Roman" w:hAnsi="Times New Roman" w:cs="Times New Roman"/>
          <w:sz w:val="24"/>
          <w:szCs w:val="24"/>
        </w:rPr>
        <w:t xml:space="preserve">. Regulamenta o art. 225, § 1º, incisos I, II, III e VII da Constituição Federal, institui o Sistema Nacional de Unidades de Conservação da Natureza e dá outras providências. Brasília, DF: Presidência da República, 2000c.</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9.991, de 24 de julho de 2000</w:t>
      </w:r>
      <w:r>
        <w:rPr>
          <w:rFonts w:ascii="Times New Roman" w:hAnsi="Times New Roman" w:cs="Times New Roman"/>
          <w:sz w:val="24"/>
          <w:szCs w:val="24"/>
        </w:rPr>
        <w:t xml:space="preserve">. Dispõe sobre realização de investimentos em pesquisa e desenvolvimento e em eficiência energética por parte das empresas concessionárias, permissionárias e autorizadas do setor de energia elétrica, e dá outras providências. Brasília, DF: Presidência da República, 2000d.</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9.998, de 17 de agosto de 2000</w:t>
      </w:r>
      <w:r>
        <w:rPr>
          <w:rFonts w:ascii="Times New Roman" w:hAnsi="Times New Roman" w:cs="Times New Roman"/>
          <w:sz w:val="24"/>
          <w:szCs w:val="24"/>
        </w:rPr>
        <w:t xml:space="preserve">. Institui o Fundo de Universalização dos Serviços de Telecomunicações. Brasília, DF: Presidência da República, 2000b.</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12.527, de 18 de novembro de 2011</w:t>
      </w:r>
      <w:r>
        <w:rPr>
          <w:rFonts w:ascii="Times New Roman" w:hAnsi="Times New Roman" w:cs="Times New Roman"/>
          <w:sz w:val="24"/>
          <w:szCs w:val="24"/>
        </w:rPr>
        <w:t xml:space="preserve">. Regula o acesso a informações previsto no inciso XXXIII do art. 5º, no inciso II do § 3º do art. 37 e no § 2º do art. 216 da Constituição Federal; altera a Lei nº 8.112, de 11 de dezembro de 1990; revoga a Lei nº 11.111, de 5 de maio de 2005, e dispositivos da Lei nº 8.159, de 8 de janeiro de 1991; e dá outras providências. Brasília, DF: Presidência da República, 2011.</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12.813, de 16 de maio de 2013</w:t>
      </w:r>
      <w:r>
        <w:rPr>
          <w:rFonts w:ascii="Times New Roman" w:hAnsi="Times New Roman" w:cs="Times New Roman"/>
          <w:sz w:val="24"/>
          <w:szCs w:val="24"/>
        </w:rPr>
        <w:t xml:space="preserve">. Dispõe sobre o conflito de interesses no exercício de cargo ou emprego do Poder Executivo federal e impedimentos posteriores ao exercício do cargo ou emprego. Brasília, DF: Presidência da República, 2013.</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12.965, de 23 de abril de 2014</w:t>
      </w:r>
      <w:r>
        <w:rPr>
          <w:rFonts w:ascii="Times New Roman" w:hAnsi="Times New Roman" w:cs="Times New Roman"/>
          <w:sz w:val="24"/>
          <w:szCs w:val="24"/>
        </w:rPr>
        <w:t xml:space="preserve">. Estabelece princípios, garantias, direitos e deveres para o uso da Internet no Brasil. Brasília, DF: Presidência da República, 2014.</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13.709, de 14 de agosto de 2018</w:t>
      </w:r>
      <w:r>
        <w:rPr>
          <w:rFonts w:ascii="Times New Roman" w:hAnsi="Times New Roman" w:cs="Times New Roman"/>
          <w:sz w:val="24"/>
          <w:szCs w:val="24"/>
        </w:rPr>
        <w:t xml:space="preserve">. Lei Geral de Proteção de Dados Pessoais (LGPD). Brasília, DF: Presidência da República, 2018.</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Lei nº 14.109, de 16 de dezembro de 2020</w:t>
      </w:r>
      <w:r>
        <w:rPr>
          <w:rFonts w:ascii="Times New Roman" w:hAnsi="Times New Roman" w:cs="Times New Roman"/>
          <w:sz w:val="24"/>
          <w:szCs w:val="24"/>
        </w:rPr>
        <w:t xml:space="preserve">. Altera a Lei nº 9.998, de 17 de agosto de 2000, que institui o Fundo de Universalização dos Serviços de Telecomunicações (Fust). Brasília, DF: Presidência da República, 2020.</w:t>
      </w:r>
    </w:p>
    <w:p>
      <w:pPr>
        <w:spacing w:before="0" w:after="240" w:line="240" w:lineRule="auto"/>
        <w:jc w:val="left"/>
      </w:pPr>
      <w:r>
        <w:rPr>
          <w:rFonts w:ascii="Times New Roman" w:hAnsi="Times New Roman" w:cs="Times New Roman"/>
          <w:sz w:val="24"/>
          <w:szCs w:val="24"/>
        </w:rPr>
        <w:t xml:space="preserve">BRASIL. </w:t>
      </w:r>
      <w:r>
        <w:rPr>
          <w:rFonts w:ascii="Times New Roman" w:hAnsi="Times New Roman" w:cs="Times New Roman"/>
          <w:b/>
          <w:bCs/>
          <w:sz w:val="24"/>
          <w:szCs w:val="24"/>
        </w:rPr>
        <w:t xml:space="preserve">Medida Provisória nº 1.318, de 17 de setembro de 2025</w:t>
      </w:r>
      <w:r>
        <w:rPr>
          <w:rFonts w:ascii="Times New Roman" w:hAnsi="Times New Roman" w:cs="Times New Roman"/>
          <w:sz w:val="24"/>
          <w:szCs w:val="24"/>
        </w:rPr>
        <w:t xml:space="preserve">. Institui o Regime Especial de Tributação para Serviços de Datacenter (Redata). Brasília, DF: Presidência da República, 2025c.</w:t>
      </w:r>
    </w:p>
    <w:p>
      <w:pPr>
        <w:spacing w:before="0" w:after="240" w:line="240" w:lineRule="auto"/>
        <w:jc w:val="left"/>
      </w:pPr>
      <w:r>
        <w:rPr>
          <w:rFonts w:ascii="Times New Roman" w:hAnsi="Times New Roman" w:cs="Times New Roman"/>
          <w:sz w:val="24"/>
          <w:szCs w:val="24"/>
        </w:rPr>
        <w:t xml:space="preserve">BRASIL. Câmara dos Deputados. </w:t>
      </w:r>
      <w:r>
        <w:rPr>
          <w:rFonts w:ascii="Times New Roman" w:hAnsi="Times New Roman" w:cs="Times New Roman"/>
          <w:b/>
          <w:bCs/>
          <w:sz w:val="24"/>
          <w:szCs w:val="24"/>
        </w:rPr>
        <w:t xml:space="preserve">Projeto de Lei nº 4.675, de 2025</w:t>
      </w:r>
      <w:r>
        <w:rPr>
          <w:rFonts w:ascii="Times New Roman" w:hAnsi="Times New Roman" w:cs="Times New Roman"/>
          <w:sz w:val="24"/>
          <w:szCs w:val="24"/>
        </w:rPr>
        <w:t xml:space="preserve">. Altera a Lei nº 12.529, de 30 de novembro de 2011, para dispor sobre a designação de agentes econômicos de relevância sistêmica em mercados digitais. Autor: Poder Executivo. Brasília, DF: Câmara dos Deputados, 2025e.</w:t>
      </w:r>
    </w:p>
    <w:p>
      <w:pPr>
        <w:spacing w:before="0" w:after="240" w:line="240" w:lineRule="auto"/>
        <w:jc w:val="left"/>
      </w:pPr>
      <w:r>
        <w:rPr>
          <w:rFonts w:ascii="Times New Roman" w:hAnsi="Times New Roman" w:cs="Times New Roman"/>
          <w:sz w:val="24"/>
          <w:szCs w:val="24"/>
        </w:rPr>
        <w:t xml:space="preserve">BRASIL. Câmara dos Deputados. Comissão de Ciência, Tecnologia e Inovação. </w:t>
      </w:r>
      <w:r>
        <w:rPr>
          <w:rFonts w:ascii="Times New Roman" w:hAnsi="Times New Roman" w:cs="Times New Roman"/>
          <w:b/>
          <w:bCs/>
          <w:sz w:val="24"/>
          <w:szCs w:val="24"/>
        </w:rPr>
        <w:t xml:space="preserve">Parecer do relator ao Projeto de Lei Complementar nº 153, de 2025 (PRL n. 2 CCTI)</w:t>
      </w:r>
      <w:r>
        <w:rPr>
          <w:rFonts w:ascii="Times New Roman" w:hAnsi="Times New Roman" w:cs="Times New Roman"/>
          <w:sz w:val="24"/>
          <w:szCs w:val="24"/>
        </w:rPr>
        <w:t xml:space="preserve">. Relator: Dep. Eros Biondini. Brasília, DF: Câmara dos Deputados, 15 jun. 2026. Inclui substitutivo.</w:t>
      </w:r>
    </w:p>
    <w:p>
      <w:pPr>
        <w:spacing w:before="0" w:after="240" w:line="240" w:lineRule="auto"/>
        <w:jc w:val="left"/>
      </w:pPr>
      <w:r>
        <w:rPr>
          <w:rFonts w:ascii="Times New Roman" w:hAnsi="Times New Roman" w:cs="Times New Roman"/>
          <w:sz w:val="24"/>
          <w:szCs w:val="24"/>
        </w:rPr>
        <w:t xml:space="preserve">BRASIL. Supremo Tribunal Federal. </w:t>
      </w:r>
      <w:r>
        <w:rPr>
          <w:rFonts w:ascii="Times New Roman" w:hAnsi="Times New Roman" w:cs="Times New Roman"/>
          <w:b/>
          <w:bCs/>
          <w:sz w:val="24"/>
          <w:szCs w:val="24"/>
        </w:rPr>
        <w:t xml:space="preserve">Ação Direta de Inconstitucionalidade nº 3.378/DF</w:t>
      </w:r>
      <w:r>
        <w:rPr>
          <w:rFonts w:ascii="Times New Roman" w:hAnsi="Times New Roman" w:cs="Times New Roman"/>
          <w:sz w:val="24"/>
          <w:szCs w:val="24"/>
        </w:rPr>
        <w:t xml:space="preserve">. Relator: Min. Carlos Britto. Tribunal Pleno. Brasília, DF, 9 abr. 2008.</w:t>
      </w:r>
    </w:p>
    <w:p>
      <w:pPr>
        <w:spacing w:before="0" w:after="240" w:line="240" w:lineRule="auto"/>
        <w:jc w:val="left"/>
      </w:pPr>
      <w:r>
        <w:rPr>
          <w:rFonts w:ascii="Times New Roman" w:hAnsi="Times New Roman" w:cs="Times New Roman"/>
          <w:sz w:val="24"/>
          <w:szCs w:val="24"/>
        </w:rPr>
        <w:t xml:space="preserve">BRASIL. Supremo Tribunal Federal. </w:t>
      </w:r>
      <w:r>
        <w:rPr>
          <w:rFonts w:ascii="Times New Roman" w:hAnsi="Times New Roman" w:cs="Times New Roman"/>
          <w:b/>
          <w:bCs/>
          <w:sz w:val="24"/>
          <w:szCs w:val="24"/>
        </w:rPr>
        <w:t xml:space="preserve">Recurso Extraordinário nº 228.800/DF</w:t>
      </w:r>
      <w:r>
        <w:rPr>
          <w:rFonts w:ascii="Times New Roman" w:hAnsi="Times New Roman" w:cs="Times New Roman"/>
          <w:sz w:val="24"/>
          <w:szCs w:val="24"/>
        </w:rPr>
        <w:t xml:space="preserve">. Relator: Min. Sepúlveda Pertence. Brasília, DF: STF, 2001.</w:t>
      </w:r>
    </w:p>
    <w:p>
      <w:pPr>
        <w:spacing w:before="0" w:after="240" w:line="240" w:lineRule="auto"/>
        <w:jc w:val="left"/>
      </w:pPr>
      <w:r>
        <w:rPr>
          <w:rFonts w:ascii="Times New Roman" w:hAnsi="Times New Roman" w:cs="Times New Roman"/>
          <w:sz w:val="24"/>
          <w:szCs w:val="24"/>
        </w:rPr>
        <w:t xml:space="preserve">BRENNEN, J. Scott; KREISS, Daniel. Digitalization. In: JENSEN, Klaus Bruhn; CRAIG, Robert T. (ed.). </w:t>
      </w:r>
      <w:r>
        <w:rPr>
          <w:rFonts w:ascii="Times New Roman" w:hAnsi="Times New Roman" w:cs="Times New Roman"/>
          <w:b/>
          <w:bCs/>
          <w:sz w:val="24"/>
          <w:szCs w:val="24"/>
        </w:rPr>
        <w:t xml:space="preserve">The international encyclopedia of communication theory and philosophy</w:t>
      </w:r>
      <w:r>
        <w:rPr>
          <w:rFonts w:ascii="Times New Roman" w:hAnsi="Times New Roman" w:cs="Times New Roman"/>
          <w:sz w:val="24"/>
          <w:szCs w:val="24"/>
        </w:rPr>
        <w:t xml:space="preserve">. Hoboken: Wiley-Blackwell, 2016.</w:t>
      </w:r>
    </w:p>
    <w:p>
      <w:pPr>
        <w:spacing w:before="0" w:after="240" w:line="240" w:lineRule="auto"/>
        <w:jc w:val="left"/>
      </w:pPr>
      <w:r>
        <w:rPr>
          <w:rFonts w:ascii="Times New Roman" w:hAnsi="Times New Roman" w:cs="Times New Roman"/>
          <w:sz w:val="24"/>
          <w:szCs w:val="24"/>
        </w:rPr>
        <w:t xml:space="preserve">BRYNJOLFSSON, Erik; COLLIS, Avinash; EGGERS, Felix. Using massive online choice experiments to measure changes in well-being. </w:t>
      </w:r>
      <w:r>
        <w:rPr>
          <w:rFonts w:ascii="Times New Roman" w:hAnsi="Times New Roman" w:cs="Times New Roman"/>
          <w:b/>
          <w:bCs/>
          <w:sz w:val="24"/>
          <w:szCs w:val="24"/>
        </w:rPr>
        <w:t xml:space="preserve">Proceedings of the National Academy of Sciences</w:t>
      </w:r>
      <w:r>
        <w:rPr>
          <w:rFonts w:ascii="Times New Roman" w:hAnsi="Times New Roman" w:cs="Times New Roman"/>
          <w:sz w:val="24"/>
          <w:szCs w:val="24"/>
        </w:rPr>
        <w:t xml:space="preserve">, Washington, DC, v. 116, n. 15, p. 7250-7255, 2019.</w:t>
      </w:r>
    </w:p>
    <w:p>
      <w:pPr>
        <w:spacing w:before="0" w:after="240" w:line="240" w:lineRule="auto"/>
        <w:jc w:val="left"/>
      </w:pPr>
      <w:r>
        <w:rPr>
          <w:rFonts w:ascii="Times New Roman" w:hAnsi="Times New Roman" w:cs="Times New Roman"/>
          <w:sz w:val="24"/>
          <w:szCs w:val="24"/>
        </w:rPr>
        <w:t xml:space="preserve">BUKHT, Rumana; HEEKS, Richard. </w:t>
      </w:r>
      <w:r>
        <w:rPr>
          <w:rFonts w:ascii="Times New Roman" w:hAnsi="Times New Roman" w:cs="Times New Roman"/>
          <w:b/>
          <w:bCs/>
          <w:sz w:val="24"/>
          <w:szCs w:val="24"/>
        </w:rPr>
        <w:t xml:space="preserve">Defining, conceptualising and measuring the digital economy</w:t>
      </w:r>
      <w:r>
        <w:rPr>
          <w:rFonts w:ascii="Times New Roman" w:hAnsi="Times New Roman" w:cs="Times New Roman"/>
          <w:sz w:val="24"/>
          <w:szCs w:val="24"/>
        </w:rPr>
        <w:t xml:space="preserve">. Manchester: Centre for Development Informatics, University of Manchester, 2017. (Development Informatics Working Paper, n. 68).</w:t>
      </w:r>
    </w:p>
    <w:p>
      <w:pPr>
        <w:spacing w:before="0" w:after="240" w:line="240" w:lineRule="auto"/>
        <w:jc w:val="left"/>
      </w:pPr>
      <w:r>
        <w:rPr>
          <w:rFonts w:ascii="Times New Roman" w:hAnsi="Times New Roman" w:cs="Times New Roman"/>
          <w:sz w:val="24"/>
          <w:szCs w:val="24"/>
        </w:rPr>
        <w:t xml:space="preserve">CASSIOLATO, José Eduardo; LASTRES, Helena Maria Martins; LEMOS, Cristina; ARROIO, Ana; BRITTO, Jorge; DANTAS, Marcos. Introdução: desafios e experiências mundiais para alcançar a soberania digital. In: LASTRES, Helena Maria Martins; CASSIOLATO, José Eduardo; DANTAS, Marcos (org.). </w:t>
      </w:r>
      <w:r>
        <w:rPr>
          <w:rFonts w:ascii="Times New Roman" w:hAnsi="Times New Roman" w:cs="Times New Roman"/>
          <w:b/>
          <w:bCs/>
          <w:sz w:val="24"/>
          <w:szCs w:val="24"/>
        </w:rPr>
        <w:t xml:space="preserve">Economia política de dados e soberania digital</w:t>
      </w:r>
      <w:r>
        <w:rPr>
          <w:rFonts w:ascii="Times New Roman" w:hAnsi="Times New Roman" w:cs="Times New Roman"/>
          <w:sz w:val="24"/>
          <w:szCs w:val="24"/>
        </w:rPr>
        <w:t xml:space="preserve">: conceitos, desafios e experiências no mundo. Avaré: Contracorrente; Rio de Janeiro: Centro Internacional Celso Furtado, 2025. </w:t>
      </w:r>
      <w:r>
        <w:rPr>
          <w:rFonts w:ascii="Times New Roman" w:hAnsi="Times New Roman" w:cs="Times New Roman"/>
          <w:i/>
          <w:iCs/>
          <w:sz w:val="24"/>
          <w:szCs w:val="24"/>
        </w:rPr>
        <w:t xml:space="preserve">E-book</w:t>
      </w:r>
      <w:r>
        <w:rPr>
          <w:rFonts w:ascii="Times New Roman" w:hAnsi="Times New Roman" w:cs="Times New Roman"/>
          <w:sz w:val="24"/>
          <w:szCs w:val="24"/>
        </w:rPr>
        <w:t xml:space="preserve">.</w:t>
      </w:r>
    </w:p>
    <w:p>
      <w:pPr>
        <w:spacing w:before="0" w:after="240" w:line="240" w:lineRule="auto"/>
        <w:jc w:val="left"/>
      </w:pPr>
      <w:r>
        <w:rPr>
          <w:rFonts w:ascii="Times New Roman" w:hAnsi="Times New Roman" w:cs="Times New Roman"/>
          <w:sz w:val="24"/>
          <w:szCs w:val="24"/>
        </w:rPr>
        <w:t xml:space="preserve">CHANDER, Anupam; LE, Uyên P. Data nationalism. </w:t>
      </w:r>
      <w:r>
        <w:rPr>
          <w:rFonts w:ascii="Times New Roman" w:hAnsi="Times New Roman" w:cs="Times New Roman"/>
          <w:b/>
          <w:bCs/>
          <w:sz w:val="24"/>
          <w:szCs w:val="24"/>
        </w:rPr>
        <w:t xml:space="preserve">Emory Law Journal</w:t>
      </w:r>
      <w:r>
        <w:rPr>
          <w:rFonts w:ascii="Times New Roman" w:hAnsi="Times New Roman" w:cs="Times New Roman"/>
          <w:sz w:val="24"/>
          <w:szCs w:val="24"/>
        </w:rPr>
        <w:t xml:space="preserve">, Atlanta, v. 64, n. 3, p. 677-739, 2015.</w:t>
      </w:r>
    </w:p>
    <w:p>
      <w:pPr>
        <w:spacing w:before="0" w:after="240" w:line="240" w:lineRule="auto"/>
        <w:jc w:val="left"/>
      </w:pPr>
      <w:r>
        <w:rPr>
          <w:rFonts w:ascii="Times New Roman" w:hAnsi="Times New Roman" w:cs="Times New Roman"/>
          <w:sz w:val="24"/>
          <w:szCs w:val="24"/>
        </w:rPr>
        <w:t xml:space="preserve">CHINA’S Didi Chuxing buys control of Brazil’s 99 ride-hailing app. </w:t>
      </w:r>
      <w:r>
        <w:rPr>
          <w:rFonts w:ascii="Times New Roman" w:hAnsi="Times New Roman" w:cs="Times New Roman"/>
          <w:b/>
          <w:bCs/>
          <w:sz w:val="24"/>
          <w:szCs w:val="24"/>
        </w:rPr>
        <w:t xml:space="preserve">Business Standard</w:t>
      </w:r>
      <w:r>
        <w:rPr>
          <w:rFonts w:ascii="Times New Roman" w:hAnsi="Times New Roman" w:cs="Times New Roman"/>
          <w:sz w:val="24"/>
          <w:szCs w:val="24"/>
        </w:rPr>
        <w:t xml:space="preserve">, New Delhi, 4 jan. 2018. Reuters. Disponível em: https://www.business-standard.com/article/reuters/china-s-didi-chuxing-buys-control-of-brazil-s-99-ride-hailing-app-118010400199_1.html. Acesso em: 2 out. 2026.</w:t>
      </w:r>
    </w:p>
    <w:p>
      <w:pPr>
        <w:spacing w:before="0" w:after="240" w:line="240" w:lineRule="auto"/>
        <w:jc w:val="left"/>
      </w:pPr>
      <w:r>
        <w:rPr>
          <w:rFonts w:ascii="Times New Roman" w:hAnsi="Times New Roman" w:cs="Times New Roman"/>
          <w:sz w:val="24"/>
          <w:szCs w:val="24"/>
        </w:rPr>
        <w:t xml:space="preserve">CLIFFORD CHANCE. </w:t>
      </w:r>
      <w:r>
        <w:rPr>
          <w:rFonts w:ascii="Times New Roman" w:hAnsi="Times New Roman" w:cs="Times New Roman"/>
          <w:b/>
          <w:bCs/>
          <w:sz w:val="24"/>
          <w:szCs w:val="24"/>
        </w:rPr>
        <w:t xml:space="preserve">The sovereign Runet law</w:t>
      </w:r>
      <w:r>
        <w:rPr>
          <w:rFonts w:ascii="Times New Roman" w:hAnsi="Times New Roman" w:cs="Times New Roman"/>
          <w:sz w:val="24"/>
          <w:szCs w:val="24"/>
        </w:rPr>
        <w:t xml:space="preserve">. London: Clifford Chance, set. 2019. Disponível em: https://www.cliffordchance.com/insights/resources/blogs/talking-tech/en/articles/2019/09/the-sovereign-runet-law.html. Acesso em: 2 out. 2026.</w:t>
      </w:r>
    </w:p>
    <w:p>
      <w:pPr>
        <w:spacing w:before="0" w:after="240" w:line="240" w:lineRule="auto"/>
        <w:jc w:val="left"/>
      </w:pPr>
      <w:r>
        <w:rPr>
          <w:rFonts w:ascii="Times New Roman" w:hAnsi="Times New Roman" w:cs="Times New Roman"/>
          <w:sz w:val="24"/>
          <w:szCs w:val="24"/>
        </w:rPr>
        <w:t xml:space="preserve">CMA – COMPETITION AND MARKETS AUTHORITY. </w:t>
      </w:r>
      <w:r>
        <w:rPr>
          <w:rFonts w:ascii="Times New Roman" w:hAnsi="Times New Roman" w:cs="Times New Roman"/>
          <w:b/>
          <w:bCs/>
          <w:sz w:val="24"/>
          <w:szCs w:val="24"/>
        </w:rPr>
        <w:t xml:space="preserve">Cloud services market investigation</w:t>
      </w:r>
      <w:r>
        <w:rPr>
          <w:rFonts w:ascii="Times New Roman" w:hAnsi="Times New Roman" w:cs="Times New Roman"/>
          <w:sz w:val="24"/>
          <w:szCs w:val="24"/>
        </w:rPr>
        <w:t xml:space="preserve">: final decision. London: CMA, 2025.</w:t>
      </w:r>
    </w:p>
    <w:p>
      <w:pPr>
        <w:spacing w:before="0" w:after="240" w:line="240" w:lineRule="auto"/>
        <w:jc w:val="left"/>
      </w:pPr>
      <w:r>
        <w:rPr>
          <w:rFonts w:ascii="Times New Roman" w:hAnsi="Times New Roman" w:cs="Times New Roman"/>
          <w:sz w:val="24"/>
          <w:szCs w:val="24"/>
        </w:rPr>
        <w:t xml:space="preserve">CNN BRASIL. [Reportagem sobre a indisponibilidade do WhatsApp e seus efeitos sobre pequenos negócios; título e data a conferir]. São Paulo: CNN Brasil, 2020.</w:t>
      </w:r>
    </w:p>
    <w:p>
      <w:pPr>
        <w:spacing w:before="0" w:after="240" w:line="240" w:lineRule="auto"/>
        <w:jc w:val="left"/>
      </w:pPr>
      <w:r>
        <w:rPr>
          <w:rFonts w:ascii="Times New Roman" w:hAnsi="Times New Roman" w:cs="Times New Roman"/>
          <w:sz w:val="24"/>
          <w:szCs w:val="24"/>
        </w:rPr>
        <w:t xml:space="preserve">COHEN, Julie E. The biopolitical public domain: the legal construction of the surveillance economy. </w:t>
      </w:r>
      <w:r>
        <w:rPr>
          <w:rFonts w:ascii="Times New Roman" w:hAnsi="Times New Roman" w:cs="Times New Roman"/>
          <w:b/>
          <w:bCs/>
          <w:sz w:val="24"/>
          <w:szCs w:val="24"/>
        </w:rPr>
        <w:t xml:space="preserve">Philosophy &amp; Technology</w:t>
      </w:r>
      <w:r>
        <w:rPr>
          <w:rFonts w:ascii="Times New Roman" w:hAnsi="Times New Roman" w:cs="Times New Roman"/>
          <w:sz w:val="24"/>
          <w:szCs w:val="24"/>
        </w:rPr>
        <w:t xml:space="preserve">, [s. l.], v. 31, n. 2, p. 213-233, 2018. DOI: 10.1007/s13347-017-0258-2.</w:t>
      </w:r>
    </w:p>
    <w:p>
      <w:pPr>
        <w:spacing w:before="0" w:after="240" w:line="240" w:lineRule="auto"/>
        <w:jc w:val="left"/>
      </w:pPr>
      <w:r>
        <w:rPr>
          <w:rFonts w:ascii="Times New Roman" w:hAnsi="Times New Roman" w:cs="Times New Roman"/>
          <w:sz w:val="24"/>
          <w:szCs w:val="24"/>
        </w:rPr>
        <w:t xml:space="preserve">CORRADO, Carol; HULTEN, Charles; SICHEL, Daniel. Intangible capital and U.S. economic growth. </w:t>
      </w:r>
      <w:r>
        <w:rPr>
          <w:rFonts w:ascii="Times New Roman" w:hAnsi="Times New Roman" w:cs="Times New Roman"/>
          <w:b/>
          <w:bCs/>
          <w:sz w:val="24"/>
          <w:szCs w:val="24"/>
        </w:rPr>
        <w:t xml:space="preserve">Review of Income and Wealth</w:t>
      </w:r>
      <w:r>
        <w:rPr>
          <w:rFonts w:ascii="Times New Roman" w:hAnsi="Times New Roman" w:cs="Times New Roman"/>
          <w:sz w:val="24"/>
          <w:szCs w:val="24"/>
        </w:rPr>
        <w:t xml:space="preserve">, [s. l.], v. 55, n. 3, p. 661-685, 2009.</w:t>
      </w:r>
    </w:p>
    <w:p>
      <w:pPr>
        <w:spacing w:before="0" w:after="240" w:line="240" w:lineRule="auto"/>
        <w:jc w:val="left"/>
      </w:pPr>
      <w:r>
        <w:rPr>
          <w:rFonts w:ascii="Times New Roman" w:hAnsi="Times New Roman" w:cs="Times New Roman"/>
          <w:sz w:val="24"/>
          <w:szCs w:val="24"/>
        </w:rPr>
        <w:t xml:space="preserve">COULDRY, Nick; MEJIAS, Ulises A. </w:t>
      </w:r>
      <w:r>
        <w:rPr>
          <w:rFonts w:ascii="Times New Roman" w:hAnsi="Times New Roman" w:cs="Times New Roman"/>
          <w:b/>
          <w:bCs/>
          <w:sz w:val="24"/>
          <w:szCs w:val="24"/>
        </w:rPr>
        <w:t xml:space="preserve">Data colonialism</w:t>
      </w:r>
      <w:r>
        <w:rPr>
          <w:rFonts w:ascii="Times New Roman" w:hAnsi="Times New Roman" w:cs="Times New Roman"/>
          <w:sz w:val="24"/>
          <w:szCs w:val="24"/>
        </w:rPr>
        <w:t xml:space="preserve">: rethinking big data’s relation to the contemporary subject. London: LSE Research Online, 2018. Versão aceita do artigo publicado em Television &amp; New Media. Disponível em: http://eprints.lse.ac.uk/89511/. Acesso em: 1 out. 2026.</w:t>
      </w:r>
    </w:p>
    <w:p>
      <w:pPr>
        <w:spacing w:before="0" w:after="240" w:line="240" w:lineRule="auto"/>
        <w:jc w:val="left"/>
      </w:pPr>
      <w:r>
        <w:rPr>
          <w:rFonts w:ascii="Times New Roman" w:hAnsi="Times New Roman" w:cs="Times New Roman"/>
          <w:sz w:val="24"/>
          <w:szCs w:val="24"/>
        </w:rPr>
        <w:t xml:space="preserve">DANTAS, Marcos; CASSIOLATO, José Eduardo; LASTRES, Helena Maria Martins; FALCÓN, Maria Lucia; BRITTO, Jorge; LEMOS, Cristina. A economia política de dados e digital: desafios de conceituação e mensuração. In: LASTRES, Helena Maria Martins; CASSIOLATO, José Eduardo; DANTAS, Marcos (org.). </w:t>
      </w:r>
      <w:r>
        <w:rPr>
          <w:rFonts w:ascii="Times New Roman" w:hAnsi="Times New Roman" w:cs="Times New Roman"/>
          <w:b/>
          <w:bCs/>
          <w:sz w:val="24"/>
          <w:szCs w:val="24"/>
        </w:rPr>
        <w:t xml:space="preserve">Economia política de dados e soberania digital</w:t>
      </w:r>
      <w:r>
        <w:rPr>
          <w:rFonts w:ascii="Times New Roman" w:hAnsi="Times New Roman" w:cs="Times New Roman"/>
          <w:sz w:val="24"/>
          <w:szCs w:val="24"/>
        </w:rPr>
        <w:t xml:space="preserve">: conceitos, desafios e experiências no mundo. Avaré: Contracorrente; Rio de Janeiro: Centro Internacional Celso Furtado, 2025. </w:t>
      </w:r>
      <w:r>
        <w:rPr>
          <w:rFonts w:ascii="Times New Roman" w:hAnsi="Times New Roman" w:cs="Times New Roman"/>
          <w:i/>
          <w:iCs/>
          <w:sz w:val="24"/>
          <w:szCs w:val="24"/>
        </w:rPr>
        <w:t xml:space="preserve">E-book</w:t>
      </w:r>
      <w:r>
        <w:rPr>
          <w:rFonts w:ascii="Times New Roman" w:hAnsi="Times New Roman" w:cs="Times New Roman"/>
          <w:sz w:val="24"/>
          <w:szCs w:val="24"/>
        </w:rPr>
        <w:t xml:space="preserve">.</w:t>
      </w:r>
    </w:p>
    <w:p>
      <w:pPr>
        <w:spacing w:before="0" w:after="240" w:line="240" w:lineRule="auto"/>
        <w:jc w:val="left"/>
      </w:pPr>
      <w:r>
        <w:rPr>
          <w:rFonts w:ascii="Times New Roman" w:hAnsi="Times New Roman" w:cs="Times New Roman"/>
          <w:sz w:val="24"/>
          <w:szCs w:val="24"/>
        </w:rPr>
        <w:t xml:space="preserve">DELACROIX, Sylvie; LAWRENCE, Neil D. Bottom-up data trusts: disturbing the “one size fits all” approach to data governance. </w:t>
      </w:r>
      <w:r>
        <w:rPr>
          <w:rFonts w:ascii="Times New Roman" w:hAnsi="Times New Roman" w:cs="Times New Roman"/>
          <w:b/>
          <w:bCs/>
          <w:sz w:val="24"/>
          <w:szCs w:val="24"/>
        </w:rPr>
        <w:t xml:space="preserve">International Data Privacy Law</w:t>
      </w:r>
      <w:r>
        <w:rPr>
          <w:rFonts w:ascii="Times New Roman" w:hAnsi="Times New Roman" w:cs="Times New Roman"/>
          <w:sz w:val="24"/>
          <w:szCs w:val="24"/>
        </w:rPr>
        <w:t xml:space="preserve">, Oxford, v. 9, n. 4, p. 236-252, 2019.</w:t>
      </w:r>
    </w:p>
    <w:p>
      <w:pPr>
        <w:spacing w:before="0" w:after="240" w:line="240" w:lineRule="auto"/>
        <w:jc w:val="left"/>
      </w:pPr>
      <w:r>
        <w:rPr>
          <w:rFonts w:ascii="Times New Roman" w:hAnsi="Times New Roman" w:cs="Times New Roman"/>
          <w:sz w:val="24"/>
          <w:szCs w:val="24"/>
        </w:rPr>
        <w:t xml:space="preserve">ESTADOS UNIDOS. Congress. House. Select Committee to Investigate the January 6th Attack on the United States Capitol. </w:t>
      </w:r>
      <w:r>
        <w:rPr>
          <w:rFonts w:ascii="Times New Roman" w:hAnsi="Times New Roman" w:cs="Times New Roman"/>
          <w:b/>
          <w:bCs/>
          <w:sz w:val="24"/>
          <w:szCs w:val="24"/>
        </w:rPr>
        <w:t xml:space="preserve">Final report</w:t>
      </w:r>
      <w:r>
        <w:rPr>
          <w:rFonts w:ascii="Times New Roman" w:hAnsi="Times New Roman" w:cs="Times New Roman"/>
          <w:sz w:val="24"/>
          <w:szCs w:val="24"/>
        </w:rPr>
        <w:t xml:space="preserve">. Washington, DC: U.S. Government Publishing Office, 2022. (H. Rept. 117-663).</w:t>
      </w:r>
    </w:p>
    <w:p>
      <w:pPr>
        <w:spacing w:before="0" w:after="240" w:line="240" w:lineRule="auto"/>
        <w:jc w:val="left"/>
      </w:pPr>
      <w:r>
        <w:rPr>
          <w:rFonts w:ascii="Times New Roman" w:hAnsi="Times New Roman" w:cs="Times New Roman"/>
          <w:sz w:val="24"/>
          <w:szCs w:val="24"/>
        </w:rPr>
        <w:t xml:space="preserve">EVANGELISTA, Rafael; BRUNO, Fernanda. WhatsApp and political instability in Brazil: targeted messages and political radicalisation. </w:t>
      </w:r>
      <w:r>
        <w:rPr>
          <w:rFonts w:ascii="Times New Roman" w:hAnsi="Times New Roman" w:cs="Times New Roman"/>
          <w:b/>
          <w:bCs/>
          <w:sz w:val="24"/>
          <w:szCs w:val="24"/>
        </w:rPr>
        <w:t xml:space="preserve">Internet Policy Review</w:t>
      </w:r>
      <w:r>
        <w:rPr>
          <w:rFonts w:ascii="Times New Roman" w:hAnsi="Times New Roman" w:cs="Times New Roman"/>
          <w:sz w:val="24"/>
          <w:szCs w:val="24"/>
        </w:rPr>
        <w:t xml:space="preserve">, Berlin, v. 8, n. 4, 2019. DOI: 10.14763/2019.4.1434.</w:t>
      </w:r>
    </w:p>
    <w:p>
      <w:pPr>
        <w:spacing w:before="0" w:after="240" w:line="240" w:lineRule="auto"/>
        <w:jc w:val="left"/>
      </w:pPr>
      <w:r>
        <w:rPr>
          <w:rFonts w:ascii="Times New Roman" w:hAnsi="Times New Roman" w:cs="Times New Roman"/>
          <w:sz w:val="24"/>
          <w:szCs w:val="24"/>
        </w:rPr>
        <w:t xml:space="preserve">FACEBOOK é multado em R$ 6,6 milhões no Brasil por caso Cambridge Analytica. </w:t>
      </w:r>
      <w:r>
        <w:rPr>
          <w:rFonts w:ascii="Times New Roman" w:hAnsi="Times New Roman" w:cs="Times New Roman"/>
          <w:b/>
          <w:bCs/>
          <w:sz w:val="24"/>
          <w:szCs w:val="24"/>
        </w:rPr>
        <w:t xml:space="preserve">Tecnoblog</w:t>
      </w:r>
      <w:r>
        <w:rPr>
          <w:rFonts w:ascii="Times New Roman" w:hAnsi="Times New Roman" w:cs="Times New Roman"/>
          <w:sz w:val="24"/>
          <w:szCs w:val="24"/>
        </w:rPr>
        <w:t xml:space="preserve">, [s. l.], 30 dez. 2019. Disponível em: https://tecnoblog.net/319486/facebook-multado-ministerio-justica-caso-cambridge-analytica/. Acesso em: 2 out. 2026.</w:t>
      </w:r>
    </w:p>
    <w:p>
      <w:pPr>
        <w:spacing w:before="0" w:after="240" w:line="240" w:lineRule="auto"/>
        <w:jc w:val="left"/>
      </w:pPr>
      <w:r>
        <w:rPr>
          <w:rFonts w:ascii="Times New Roman" w:hAnsi="Times New Roman" w:cs="Times New Roman"/>
          <w:sz w:val="24"/>
          <w:szCs w:val="24"/>
        </w:rPr>
        <w:t xml:space="preserve">FAIRFIELD, Joshua A. T.; ENGEL, Christoph. Privacy as a public good. </w:t>
      </w:r>
      <w:r>
        <w:rPr>
          <w:rFonts w:ascii="Times New Roman" w:hAnsi="Times New Roman" w:cs="Times New Roman"/>
          <w:b/>
          <w:bCs/>
          <w:sz w:val="24"/>
          <w:szCs w:val="24"/>
        </w:rPr>
        <w:t xml:space="preserve">Duke Law Journal</w:t>
      </w:r>
      <w:r>
        <w:rPr>
          <w:rFonts w:ascii="Times New Roman" w:hAnsi="Times New Roman" w:cs="Times New Roman"/>
          <w:sz w:val="24"/>
          <w:szCs w:val="24"/>
        </w:rPr>
        <w:t xml:space="preserve">, Durham, v. 65, n. 3, p. 385-457, 2015.</w:t>
      </w:r>
    </w:p>
    <w:p>
      <w:pPr>
        <w:spacing w:before="0" w:after="240" w:line="240" w:lineRule="auto"/>
        <w:jc w:val="left"/>
      </w:pPr>
      <w:r>
        <w:rPr>
          <w:rFonts w:ascii="Times New Roman" w:hAnsi="Times New Roman" w:cs="Times New Roman"/>
          <w:sz w:val="24"/>
          <w:szCs w:val="24"/>
        </w:rPr>
        <w:t xml:space="preserve">FARRELL, Henry; NEWMAN, Abraham L. Weaponized interdependence: how global economic networks shape state coercion. </w:t>
      </w:r>
      <w:r>
        <w:rPr>
          <w:rFonts w:ascii="Times New Roman" w:hAnsi="Times New Roman" w:cs="Times New Roman"/>
          <w:b/>
          <w:bCs/>
          <w:sz w:val="24"/>
          <w:szCs w:val="24"/>
        </w:rPr>
        <w:t xml:space="preserve">International Security</w:t>
      </w:r>
      <w:r>
        <w:rPr>
          <w:rFonts w:ascii="Times New Roman" w:hAnsi="Times New Roman" w:cs="Times New Roman"/>
          <w:sz w:val="24"/>
          <w:szCs w:val="24"/>
        </w:rPr>
        <w:t xml:space="preserve">, Cambridge, MA, v. 44, n. 1, p. 42-79, 2019.</w:t>
      </w:r>
    </w:p>
    <w:p>
      <w:pPr>
        <w:spacing w:before="0" w:after="240" w:line="240" w:lineRule="auto"/>
        <w:jc w:val="left"/>
      </w:pPr>
      <w:r>
        <w:rPr>
          <w:rFonts w:ascii="Times New Roman" w:hAnsi="Times New Roman" w:cs="Times New Roman"/>
          <w:sz w:val="24"/>
          <w:szCs w:val="24"/>
        </w:rPr>
        <w:t xml:space="preserve">FARRONATO, Chiara. </w:t>
      </w:r>
      <w:r>
        <w:rPr>
          <w:rFonts w:ascii="Times New Roman" w:hAnsi="Times New Roman" w:cs="Times New Roman"/>
          <w:b/>
          <w:bCs/>
          <w:sz w:val="24"/>
          <w:szCs w:val="24"/>
        </w:rPr>
        <w:t xml:space="preserve">Data as the new oil</w:t>
      </w:r>
      <w:r>
        <w:rPr>
          <w:rFonts w:ascii="Times New Roman" w:hAnsi="Times New Roman" w:cs="Times New Roman"/>
          <w:sz w:val="24"/>
          <w:szCs w:val="24"/>
        </w:rPr>
        <w:t xml:space="preserve">: parallels, challenges, and regulatory implications. Apresentação no evento Making AI Work: What Firms and Workers Need. Washington, DC: World Bank, 26 jan. 2026.</w:t>
      </w:r>
    </w:p>
    <w:p>
      <w:pPr>
        <w:spacing w:before="0" w:after="240" w:line="240" w:lineRule="auto"/>
        <w:jc w:val="left"/>
      </w:pPr>
      <w:r>
        <w:rPr>
          <w:rFonts w:ascii="Times New Roman" w:hAnsi="Times New Roman" w:cs="Times New Roman"/>
          <w:sz w:val="24"/>
          <w:szCs w:val="24"/>
        </w:rPr>
        <w:t xml:space="preserve">FEYGIN, Yakov </w:t>
      </w:r>
      <w:r>
        <w:rPr>
          <w:rFonts w:ascii="Times New Roman" w:hAnsi="Times New Roman" w:cs="Times New Roman"/>
          <w:i/>
          <w:iCs/>
          <w:sz w:val="24"/>
          <w:szCs w:val="24"/>
        </w:rPr>
        <w:t xml:space="preserve">et al</w:t>
      </w:r>
      <w:r>
        <w:rPr>
          <w:rFonts w:ascii="Times New Roman" w:hAnsi="Times New Roman" w:cs="Times New Roman"/>
          <w:sz w:val="24"/>
          <w:szCs w:val="24"/>
        </w:rPr>
        <w:t xml:space="preserve">. </w:t>
      </w:r>
      <w:r>
        <w:rPr>
          <w:rFonts w:ascii="Times New Roman" w:hAnsi="Times New Roman" w:cs="Times New Roman"/>
          <w:b/>
          <w:bCs/>
          <w:sz w:val="24"/>
          <w:szCs w:val="24"/>
        </w:rPr>
        <w:t xml:space="preserve">A data dividend that works</w:t>
      </w:r>
      <w:r>
        <w:rPr>
          <w:rFonts w:ascii="Times New Roman" w:hAnsi="Times New Roman" w:cs="Times New Roman"/>
          <w:sz w:val="24"/>
          <w:szCs w:val="24"/>
        </w:rPr>
        <w:t xml:space="preserve">: steps toward building an equitable data economy. Los Angeles: Berggruen Institute, 2021.</w:t>
      </w:r>
    </w:p>
    <w:p>
      <w:pPr>
        <w:spacing w:before="0" w:after="240" w:line="240" w:lineRule="auto"/>
        <w:jc w:val="left"/>
      </w:pPr>
      <w:r>
        <w:rPr>
          <w:rFonts w:ascii="Times New Roman" w:hAnsi="Times New Roman" w:cs="Times New Roman"/>
          <w:sz w:val="24"/>
          <w:szCs w:val="24"/>
        </w:rPr>
        <w:t xml:space="preserve">FIORILLO, Celso Antonio Pacheco; FERREIRA, Renata Marques. Tutela jurídica da energia vinculada ao direito ambiental brasileiro. </w:t>
      </w:r>
      <w:r>
        <w:rPr>
          <w:rFonts w:ascii="Times New Roman" w:hAnsi="Times New Roman" w:cs="Times New Roman"/>
          <w:b/>
          <w:bCs/>
          <w:sz w:val="24"/>
          <w:szCs w:val="24"/>
        </w:rPr>
        <w:t xml:space="preserve">Revista Direito Ambiental e Sociedade</w:t>
      </w:r>
      <w:r>
        <w:rPr>
          <w:rFonts w:ascii="Times New Roman" w:hAnsi="Times New Roman" w:cs="Times New Roman"/>
          <w:sz w:val="24"/>
          <w:szCs w:val="24"/>
        </w:rPr>
        <w:t xml:space="preserve">, Caxias do Sul, v. 2, n. 1, p. 134-147, 2012.</w:t>
      </w:r>
    </w:p>
    <w:p>
      <w:pPr>
        <w:spacing w:before="0" w:after="240" w:line="240" w:lineRule="auto"/>
        <w:jc w:val="left"/>
      </w:pPr>
      <w:r>
        <w:rPr>
          <w:rFonts w:ascii="Times New Roman" w:hAnsi="Times New Roman" w:cs="Times New Roman"/>
          <w:sz w:val="24"/>
          <w:szCs w:val="24"/>
        </w:rPr>
        <w:t xml:space="preserve">FROOMKIN, A. Michael. Regulating mass surveillance as privacy pollution: learning from environmental impact statements. </w:t>
      </w:r>
      <w:r>
        <w:rPr>
          <w:rFonts w:ascii="Times New Roman" w:hAnsi="Times New Roman" w:cs="Times New Roman"/>
          <w:b/>
          <w:bCs/>
          <w:sz w:val="24"/>
          <w:szCs w:val="24"/>
        </w:rPr>
        <w:t xml:space="preserve">University of Illinois Law Review</w:t>
      </w:r>
      <w:r>
        <w:rPr>
          <w:rFonts w:ascii="Times New Roman" w:hAnsi="Times New Roman" w:cs="Times New Roman"/>
          <w:sz w:val="24"/>
          <w:szCs w:val="24"/>
        </w:rPr>
        <w:t xml:space="preserve">, Champaign, v. 2015, p. 1713-[página final a conferir], 2015.</w:t>
      </w:r>
    </w:p>
    <w:p>
      <w:pPr>
        <w:spacing w:before="0" w:after="240" w:line="240" w:lineRule="auto"/>
        <w:jc w:val="left"/>
      </w:pPr>
      <w:r>
        <w:rPr>
          <w:rFonts w:ascii="Times New Roman" w:hAnsi="Times New Roman" w:cs="Times New Roman"/>
          <w:sz w:val="24"/>
          <w:szCs w:val="24"/>
        </w:rPr>
        <w:t xml:space="preserve">GOLDFARB, Avi; TUCKER, Catherine. Digital economics. </w:t>
      </w:r>
      <w:r>
        <w:rPr>
          <w:rFonts w:ascii="Times New Roman" w:hAnsi="Times New Roman" w:cs="Times New Roman"/>
          <w:b/>
          <w:bCs/>
          <w:sz w:val="24"/>
          <w:szCs w:val="24"/>
        </w:rPr>
        <w:t xml:space="preserve">Journal of Economic Literature</w:t>
      </w:r>
      <w:r>
        <w:rPr>
          <w:rFonts w:ascii="Times New Roman" w:hAnsi="Times New Roman" w:cs="Times New Roman"/>
          <w:sz w:val="24"/>
          <w:szCs w:val="24"/>
        </w:rPr>
        <w:t xml:space="preserve">, Nashville, v. 57, n. 1, p. 3-43, 2019.</w:t>
      </w:r>
    </w:p>
    <w:p>
      <w:pPr>
        <w:spacing w:before="0" w:after="240" w:line="240" w:lineRule="auto"/>
        <w:jc w:val="left"/>
      </w:pPr>
      <w:r>
        <w:rPr>
          <w:rFonts w:ascii="Times New Roman" w:hAnsi="Times New Roman" w:cs="Times New Roman"/>
          <w:sz w:val="24"/>
          <w:szCs w:val="24"/>
        </w:rPr>
        <w:t xml:space="preserve">GOVERNO volta a multar Facebook em R$ 6,6 milhões por Cambridge Analytica. </w:t>
      </w:r>
      <w:r>
        <w:rPr>
          <w:rFonts w:ascii="Times New Roman" w:hAnsi="Times New Roman" w:cs="Times New Roman"/>
          <w:b/>
          <w:bCs/>
          <w:sz w:val="24"/>
          <w:szCs w:val="24"/>
        </w:rPr>
        <w:t xml:space="preserve">Convergência Digital</w:t>
      </w:r>
      <w:r>
        <w:rPr>
          <w:rFonts w:ascii="Times New Roman" w:hAnsi="Times New Roman" w:cs="Times New Roman"/>
          <w:sz w:val="24"/>
          <w:szCs w:val="24"/>
        </w:rPr>
        <w:t xml:space="preserve">, [s. l.], 23 ago. 2022. Disponível em: https://convergenciadigital.com.br/internet/governo-volta-a-multar-facebook-em-r-66-milhes-por-cambridge-analytica/. Acesso em: 2 out. 2026.</w:t>
      </w:r>
    </w:p>
    <w:p>
      <w:pPr>
        <w:spacing w:before="0" w:after="240" w:line="240" w:lineRule="auto"/>
        <w:jc w:val="left"/>
      </w:pPr>
      <w:r>
        <w:rPr>
          <w:rFonts w:ascii="Times New Roman" w:hAnsi="Times New Roman" w:cs="Times New Roman"/>
          <w:sz w:val="24"/>
          <w:szCs w:val="24"/>
        </w:rPr>
        <w:t xml:space="preserve">GRINBERG, Itai. User participation in value creation. </w:t>
      </w:r>
      <w:r>
        <w:rPr>
          <w:rFonts w:ascii="Times New Roman" w:hAnsi="Times New Roman" w:cs="Times New Roman"/>
          <w:b/>
          <w:bCs/>
          <w:sz w:val="24"/>
          <w:szCs w:val="24"/>
        </w:rPr>
        <w:t xml:space="preserve">British Tax Review</w:t>
      </w:r>
      <w:r>
        <w:rPr>
          <w:rFonts w:ascii="Times New Roman" w:hAnsi="Times New Roman" w:cs="Times New Roman"/>
          <w:sz w:val="24"/>
          <w:szCs w:val="24"/>
        </w:rPr>
        <w:t xml:space="preserve">, London, n. 4, 2018. Disponível em: https://scholarship.law.georgetown.edu/facpub/2102. Acesso em: 1 out. 2026.</w:t>
      </w:r>
    </w:p>
    <w:p>
      <w:pPr>
        <w:spacing w:before="0" w:after="240" w:line="240" w:lineRule="auto"/>
        <w:jc w:val="left"/>
      </w:pPr>
      <w:r>
        <w:rPr>
          <w:rFonts w:ascii="Times New Roman" w:hAnsi="Times New Roman" w:cs="Times New Roman"/>
          <w:sz w:val="24"/>
          <w:szCs w:val="24"/>
        </w:rPr>
        <w:t xml:space="preserve">GUIMARÃES, Virgínia Totti. As manifestações do comum no direito brasileiro: discussões sobre a dicotomia público e privado, pensadas a partir dos espaços públicos. </w:t>
      </w:r>
      <w:r>
        <w:rPr>
          <w:rFonts w:ascii="Times New Roman" w:hAnsi="Times New Roman" w:cs="Times New Roman"/>
          <w:b/>
          <w:bCs/>
          <w:sz w:val="24"/>
          <w:szCs w:val="24"/>
        </w:rPr>
        <w:t xml:space="preserve">Revista de Direito da Cidade</w:t>
      </w:r>
      <w:r>
        <w:rPr>
          <w:rFonts w:ascii="Times New Roman" w:hAnsi="Times New Roman" w:cs="Times New Roman"/>
          <w:sz w:val="24"/>
          <w:szCs w:val="24"/>
        </w:rPr>
        <w:t xml:space="preserve">, Rio de Janeiro, v. 16, n. 4, p. 184-222, 2024. DOI: 10.12957/rdc.2024.80410.</w:t>
      </w:r>
    </w:p>
    <w:p>
      <w:pPr>
        <w:spacing w:before="0" w:after="240" w:line="240" w:lineRule="auto"/>
        <w:jc w:val="left"/>
      </w:pPr>
      <w:r>
        <w:rPr>
          <w:rFonts w:ascii="Times New Roman" w:hAnsi="Times New Roman" w:cs="Times New Roman"/>
          <w:sz w:val="24"/>
          <w:szCs w:val="24"/>
        </w:rPr>
        <w:t xml:space="preserve">HAN, Byung-Chul. </w:t>
      </w:r>
      <w:r>
        <w:rPr>
          <w:rFonts w:ascii="Times New Roman" w:hAnsi="Times New Roman" w:cs="Times New Roman"/>
          <w:b/>
          <w:bCs/>
          <w:sz w:val="24"/>
          <w:szCs w:val="24"/>
        </w:rPr>
        <w:t xml:space="preserve">Infocracia</w:t>
      </w:r>
      <w:r>
        <w:rPr>
          <w:rFonts w:ascii="Times New Roman" w:hAnsi="Times New Roman" w:cs="Times New Roman"/>
          <w:sz w:val="24"/>
          <w:szCs w:val="24"/>
        </w:rPr>
        <w:t xml:space="preserve">: digitalização e a crise da democracia. Tradução de Gabriel S. Philipson. Petrópolis: Vozes, 2022.</w:t>
      </w:r>
    </w:p>
    <w:p>
      <w:pPr>
        <w:spacing w:before="0" w:after="240" w:line="240" w:lineRule="auto"/>
        <w:jc w:val="left"/>
      </w:pPr>
      <w:r>
        <w:rPr>
          <w:rFonts w:ascii="Times New Roman" w:hAnsi="Times New Roman" w:cs="Times New Roman"/>
          <w:sz w:val="24"/>
          <w:szCs w:val="24"/>
        </w:rPr>
        <w:t xml:space="preserve">HESS, Charlotte; OSTROM, Elinor. Ideas, artifacts, and facilities: information as a common-pool resource. </w:t>
      </w:r>
      <w:r>
        <w:rPr>
          <w:rFonts w:ascii="Times New Roman" w:hAnsi="Times New Roman" w:cs="Times New Roman"/>
          <w:b/>
          <w:bCs/>
          <w:sz w:val="24"/>
          <w:szCs w:val="24"/>
        </w:rPr>
        <w:t xml:space="preserve">Law and Contemporary Problems</w:t>
      </w:r>
      <w:r>
        <w:rPr>
          <w:rFonts w:ascii="Times New Roman" w:hAnsi="Times New Roman" w:cs="Times New Roman"/>
          <w:sz w:val="24"/>
          <w:szCs w:val="24"/>
        </w:rPr>
        <w:t xml:space="preserve">, Durham, v. 66, n. 1/2, p. 111-145, 2003.</w:t>
      </w:r>
    </w:p>
    <w:p>
      <w:pPr>
        <w:spacing w:before="0" w:after="240" w:line="240" w:lineRule="auto"/>
        <w:jc w:val="left"/>
      </w:pPr>
      <w:r>
        <w:rPr>
          <w:rFonts w:ascii="Times New Roman" w:hAnsi="Times New Roman" w:cs="Times New Roman"/>
          <w:sz w:val="24"/>
          <w:szCs w:val="24"/>
        </w:rPr>
        <w:t xml:space="preserve">HESS, Charlotte; OSTROM, Elinor. Introduction: an overview of the knowledge commons. In: HESS, Charlotte; OSTROM, Elinor (ed.). </w:t>
      </w:r>
      <w:r>
        <w:rPr>
          <w:rFonts w:ascii="Times New Roman" w:hAnsi="Times New Roman" w:cs="Times New Roman"/>
          <w:b/>
          <w:bCs/>
          <w:sz w:val="24"/>
          <w:szCs w:val="24"/>
        </w:rPr>
        <w:t xml:space="preserve">Understanding knowledge as a commons</w:t>
      </w:r>
      <w:r>
        <w:rPr>
          <w:rFonts w:ascii="Times New Roman" w:hAnsi="Times New Roman" w:cs="Times New Roman"/>
          <w:sz w:val="24"/>
          <w:szCs w:val="24"/>
        </w:rPr>
        <w:t xml:space="preserve">: from theory to practice. Cambridge, MA: MIT Press, 2007. p. 3-26.</w:t>
      </w:r>
    </w:p>
    <w:p>
      <w:pPr>
        <w:spacing w:before="0" w:after="240" w:line="240" w:lineRule="auto"/>
        <w:jc w:val="left"/>
      </w:pPr>
      <w:r>
        <w:rPr>
          <w:rFonts w:ascii="Times New Roman" w:hAnsi="Times New Roman" w:cs="Times New Roman"/>
          <w:sz w:val="24"/>
          <w:szCs w:val="24"/>
        </w:rPr>
        <w:t xml:space="preserve">HIRSCH, Dennis D. The glass house effect: big data, the new oil, and the power of analogy. </w:t>
      </w:r>
      <w:r>
        <w:rPr>
          <w:rFonts w:ascii="Times New Roman" w:hAnsi="Times New Roman" w:cs="Times New Roman"/>
          <w:b/>
          <w:bCs/>
          <w:sz w:val="24"/>
          <w:szCs w:val="24"/>
        </w:rPr>
        <w:t xml:space="preserve">Maine Law Review</w:t>
      </w:r>
      <w:r>
        <w:rPr>
          <w:rFonts w:ascii="Times New Roman" w:hAnsi="Times New Roman" w:cs="Times New Roman"/>
          <w:sz w:val="24"/>
          <w:szCs w:val="24"/>
        </w:rPr>
        <w:t xml:space="preserve">, Portland, v. 66, n. 2, p. 373-395, 2014.</w:t>
      </w:r>
    </w:p>
    <w:p>
      <w:pPr>
        <w:spacing w:before="0" w:after="240" w:line="240" w:lineRule="auto"/>
        <w:jc w:val="left"/>
      </w:pPr>
      <w:r>
        <w:rPr>
          <w:rFonts w:ascii="Times New Roman" w:hAnsi="Times New Roman" w:cs="Times New Roman"/>
          <w:sz w:val="24"/>
          <w:szCs w:val="24"/>
        </w:rPr>
        <w:t xml:space="preserve">HU, Tung-Hui. </w:t>
      </w:r>
      <w:r>
        <w:rPr>
          <w:rFonts w:ascii="Times New Roman" w:hAnsi="Times New Roman" w:cs="Times New Roman"/>
          <w:b/>
          <w:bCs/>
          <w:sz w:val="24"/>
          <w:szCs w:val="24"/>
        </w:rPr>
        <w:t xml:space="preserve">A prehistory of the cloud</w:t>
      </w:r>
      <w:r>
        <w:rPr>
          <w:rFonts w:ascii="Times New Roman" w:hAnsi="Times New Roman" w:cs="Times New Roman"/>
          <w:sz w:val="24"/>
          <w:szCs w:val="24"/>
        </w:rPr>
        <w:t xml:space="preserve">. Cambridge, MA: MIT Press, 2015.</w:t>
      </w:r>
    </w:p>
    <w:p>
      <w:pPr>
        <w:spacing w:before="0" w:after="240" w:line="240" w:lineRule="auto"/>
        <w:jc w:val="left"/>
      </w:pPr>
      <w:r>
        <w:rPr>
          <w:rFonts w:ascii="Times New Roman" w:hAnsi="Times New Roman" w:cs="Times New Roman"/>
          <w:sz w:val="24"/>
          <w:szCs w:val="24"/>
        </w:rPr>
        <w:t xml:space="preserve">IBGE – INSTITUTO BRASILEIRO DE GEOGRAFIA E ESTATÍSTICA. </w:t>
      </w:r>
      <w:r>
        <w:rPr>
          <w:rFonts w:ascii="Times New Roman" w:hAnsi="Times New Roman" w:cs="Times New Roman"/>
          <w:b/>
          <w:bCs/>
          <w:sz w:val="24"/>
          <w:szCs w:val="24"/>
        </w:rPr>
        <w:t xml:space="preserve">Pesquisa Nacional por Amostra de Domicílios Contínua</w:t>
      </w:r>
      <w:r>
        <w:rPr>
          <w:rFonts w:ascii="Times New Roman" w:hAnsi="Times New Roman" w:cs="Times New Roman"/>
          <w:sz w:val="24"/>
          <w:szCs w:val="24"/>
        </w:rPr>
        <w:t xml:space="preserve">: indicadores anuais do mercado de trabalho, 2025. Rio de Janeiro: IBGE, 2026a.</w:t>
      </w:r>
    </w:p>
    <w:p>
      <w:pPr>
        <w:spacing w:before="0" w:after="240" w:line="240" w:lineRule="auto"/>
        <w:jc w:val="left"/>
      </w:pPr>
      <w:r>
        <w:rPr>
          <w:rFonts w:ascii="Times New Roman" w:hAnsi="Times New Roman" w:cs="Times New Roman"/>
          <w:sz w:val="24"/>
          <w:szCs w:val="24"/>
        </w:rPr>
        <w:t xml:space="preserve">IBGE – INSTITUTO BRASILEIRO DE GEOGRAFIA E ESTATÍSTICA. </w:t>
      </w:r>
      <w:r>
        <w:rPr>
          <w:rFonts w:ascii="Times New Roman" w:hAnsi="Times New Roman" w:cs="Times New Roman"/>
          <w:b/>
          <w:bCs/>
          <w:sz w:val="24"/>
          <w:szCs w:val="24"/>
        </w:rPr>
        <w:t xml:space="preserve">Pesquisa Nacional por Amostra de Domicílios Contínua</w:t>
      </w:r>
      <w:r>
        <w:rPr>
          <w:rFonts w:ascii="Times New Roman" w:hAnsi="Times New Roman" w:cs="Times New Roman"/>
          <w:sz w:val="24"/>
          <w:szCs w:val="24"/>
        </w:rPr>
        <w:t xml:space="preserve">: trabalho por meio de plataformas digitais, 2025. Rio de Janeiro: IBGE, 2026b.</w:t>
      </w:r>
    </w:p>
    <w:p>
      <w:pPr>
        <w:spacing w:before="0" w:after="240" w:line="240" w:lineRule="auto"/>
        <w:jc w:val="left"/>
      </w:pPr>
      <w:r>
        <w:rPr>
          <w:rFonts w:ascii="Times New Roman" w:hAnsi="Times New Roman" w:cs="Times New Roman"/>
          <w:sz w:val="24"/>
          <w:szCs w:val="24"/>
        </w:rPr>
        <w:t xml:space="preserve">IEA – INTERNATIONAL ENERGY AGENCY. </w:t>
      </w:r>
      <w:r>
        <w:rPr>
          <w:rFonts w:ascii="Times New Roman" w:hAnsi="Times New Roman" w:cs="Times New Roman"/>
          <w:b/>
          <w:bCs/>
          <w:sz w:val="24"/>
          <w:szCs w:val="24"/>
        </w:rPr>
        <w:t xml:space="preserve">Energy and AI</w:t>
      </w:r>
      <w:r>
        <w:rPr>
          <w:rFonts w:ascii="Times New Roman" w:hAnsi="Times New Roman" w:cs="Times New Roman"/>
          <w:sz w:val="24"/>
          <w:szCs w:val="24"/>
        </w:rPr>
        <w:t xml:space="preserve">. Paris: IEA, 2025.</w:t>
      </w:r>
    </w:p>
    <w:p>
      <w:pPr>
        <w:spacing w:before="0" w:after="240" w:line="240" w:lineRule="auto"/>
        <w:jc w:val="left"/>
      </w:pPr>
      <w:r>
        <w:rPr>
          <w:rFonts w:ascii="Times New Roman" w:hAnsi="Times New Roman" w:cs="Times New Roman"/>
          <w:sz w:val="24"/>
          <w:szCs w:val="24"/>
        </w:rPr>
        <w:t xml:space="preserve">ISWGNA – INTERSECRETARIAT WORKING GROUP ON NATIONAL ACCOUNTS. [Título da nota de orientação do Digitalization Task Team]. New York: United Nations, 2020.</w:t>
      </w:r>
    </w:p>
    <w:p>
      <w:pPr>
        <w:spacing w:before="0" w:after="240" w:line="240" w:lineRule="auto"/>
        <w:jc w:val="left"/>
      </w:pPr>
      <w:r>
        <w:rPr>
          <w:rFonts w:ascii="Times New Roman" w:hAnsi="Times New Roman" w:cs="Times New Roman"/>
          <w:sz w:val="24"/>
          <w:szCs w:val="24"/>
        </w:rPr>
        <w:t xml:space="preserve">ITÁLIA. Ministero della Giustizia. Commissione Rodotà. </w:t>
      </w:r>
      <w:r>
        <w:rPr>
          <w:rFonts w:ascii="Times New Roman" w:hAnsi="Times New Roman" w:cs="Times New Roman"/>
          <w:b/>
          <w:bCs/>
          <w:sz w:val="24"/>
          <w:szCs w:val="24"/>
        </w:rPr>
        <w:t xml:space="preserve">Schema di disegno di legge delega</w:t>
      </w:r>
      <w:r>
        <w:rPr>
          <w:rFonts w:ascii="Times New Roman" w:hAnsi="Times New Roman" w:cs="Times New Roman"/>
          <w:sz w:val="24"/>
          <w:szCs w:val="24"/>
        </w:rPr>
        <w:t xml:space="preserve"> [sobre a reforma dos bens públicos; título completo a conferir]. Roma, 2008.</w:t>
      </w:r>
    </w:p>
    <w:p>
      <w:pPr>
        <w:spacing w:before="0" w:after="240" w:line="240" w:lineRule="auto"/>
        <w:jc w:val="left"/>
      </w:pPr>
      <w:r>
        <w:rPr>
          <w:rFonts w:ascii="Times New Roman" w:hAnsi="Times New Roman" w:cs="Times New Roman"/>
          <w:sz w:val="24"/>
          <w:szCs w:val="24"/>
        </w:rPr>
        <w:t xml:space="preserve">JONES, Charles I.; TONETTI, Christopher. Nonrivalry and the economics of data. </w:t>
      </w:r>
      <w:r>
        <w:rPr>
          <w:rFonts w:ascii="Times New Roman" w:hAnsi="Times New Roman" w:cs="Times New Roman"/>
          <w:b/>
          <w:bCs/>
          <w:sz w:val="24"/>
          <w:szCs w:val="24"/>
        </w:rPr>
        <w:t xml:space="preserve">American Economic Review</w:t>
      </w:r>
      <w:r>
        <w:rPr>
          <w:rFonts w:ascii="Times New Roman" w:hAnsi="Times New Roman" w:cs="Times New Roman"/>
          <w:sz w:val="24"/>
          <w:szCs w:val="24"/>
        </w:rPr>
        <w:t xml:space="preserve">, Nashville, v. 110, n. 9, p. 2819-2858, 2020. DOI: 10.1257/aer.20191330.</w:t>
      </w:r>
    </w:p>
    <w:p>
      <w:pPr>
        <w:spacing w:before="0" w:after="240" w:line="240" w:lineRule="auto"/>
        <w:jc w:val="left"/>
      </w:pPr>
      <w:r>
        <w:rPr>
          <w:rFonts w:ascii="Times New Roman" w:hAnsi="Times New Roman" w:cs="Times New Roman"/>
          <w:sz w:val="24"/>
          <w:szCs w:val="24"/>
        </w:rPr>
        <w:t xml:space="preserve">KAPCZYNSKI, Amy. The law of informational capitalism. </w:t>
      </w:r>
      <w:r>
        <w:rPr>
          <w:rFonts w:ascii="Times New Roman" w:hAnsi="Times New Roman" w:cs="Times New Roman"/>
          <w:b/>
          <w:bCs/>
          <w:sz w:val="24"/>
          <w:szCs w:val="24"/>
        </w:rPr>
        <w:t xml:space="preserve">The Yale Law Journal</w:t>
      </w:r>
      <w:r>
        <w:rPr>
          <w:rFonts w:ascii="Times New Roman" w:hAnsi="Times New Roman" w:cs="Times New Roman"/>
          <w:sz w:val="24"/>
          <w:szCs w:val="24"/>
        </w:rPr>
        <w:t xml:space="preserve">, New Haven, v. 129, n. 5, p. 1460-1515, 2020.</w:t>
      </w:r>
    </w:p>
    <w:p>
      <w:pPr>
        <w:spacing w:before="0" w:after="240" w:line="240" w:lineRule="auto"/>
        <w:jc w:val="left"/>
      </w:pPr>
      <w:r>
        <w:rPr>
          <w:rFonts w:ascii="Times New Roman" w:hAnsi="Times New Roman" w:cs="Times New Roman"/>
          <w:sz w:val="24"/>
          <w:szCs w:val="24"/>
        </w:rPr>
        <w:t xml:space="preserve">KEPIOS; WE ARE SOCIAL; MELTWATER. </w:t>
      </w:r>
      <w:r>
        <w:rPr>
          <w:rFonts w:ascii="Times New Roman" w:hAnsi="Times New Roman" w:cs="Times New Roman"/>
          <w:b/>
          <w:bCs/>
          <w:sz w:val="24"/>
          <w:szCs w:val="24"/>
        </w:rPr>
        <w:t xml:space="preserve">Digital 2026</w:t>
      </w:r>
      <w:r>
        <w:rPr>
          <w:rFonts w:ascii="Times New Roman" w:hAnsi="Times New Roman" w:cs="Times New Roman"/>
          <w:sz w:val="24"/>
          <w:szCs w:val="24"/>
        </w:rPr>
        <w:t xml:space="preserve">: Brazil. [S. l.]: DataReportal, 2026. Disponível em: https://datareportal.com/reports/digital-2026-brazil. Acesso em: 2 out. 2026.</w:t>
      </w:r>
    </w:p>
    <w:p>
      <w:pPr>
        <w:spacing w:before="0" w:after="240" w:line="240" w:lineRule="auto"/>
        <w:jc w:val="left"/>
      </w:pPr>
      <w:r>
        <w:rPr>
          <w:rFonts w:ascii="Times New Roman" w:hAnsi="Times New Roman" w:cs="Times New Roman"/>
          <w:sz w:val="24"/>
          <w:szCs w:val="24"/>
        </w:rPr>
        <w:t xml:space="preserve">LASTRES, Helena Maria Martins; LEMOS, Cristina; ARROIO, Ana; CASSIOLATO, José Eduardo; BRITTO, Jorge; MATOS, Marcelo G. P.; DANTAS, Marcos. Políticas para soberania digital em países selecionados e caminhos para o Brasil. In: LASTRES, Helena Maria Martins; CASSIOLATO, José Eduardo; DANTAS, Marcos (org.). </w:t>
      </w:r>
      <w:r>
        <w:rPr>
          <w:rFonts w:ascii="Times New Roman" w:hAnsi="Times New Roman" w:cs="Times New Roman"/>
          <w:b/>
          <w:bCs/>
          <w:sz w:val="24"/>
          <w:szCs w:val="24"/>
        </w:rPr>
        <w:t xml:space="preserve">Economia política de dados e soberania digital</w:t>
      </w:r>
      <w:r>
        <w:rPr>
          <w:rFonts w:ascii="Times New Roman" w:hAnsi="Times New Roman" w:cs="Times New Roman"/>
          <w:sz w:val="24"/>
          <w:szCs w:val="24"/>
        </w:rPr>
        <w:t xml:space="preserve">: conceitos, desafios e experiências no mundo. Avaré: Contracorrente; Rio de Janeiro: Centro Internacional Celso Furtado, 2025. </w:t>
      </w:r>
      <w:r>
        <w:rPr>
          <w:rFonts w:ascii="Times New Roman" w:hAnsi="Times New Roman" w:cs="Times New Roman"/>
          <w:i/>
          <w:iCs/>
          <w:sz w:val="24"/>
          <w:szCs w:val="24"/>
        </w:rPr>
        <w:t xml:space="preserve">E-book</w:t>
      </w:r>
      <w:r>
        <w:rPr>
          <w:rFonts w:ascii="Times New Roman" w:hAnsi="Times New Roman" w:cs="Times New Roman"/>
          <w:sz w:val="24"/>
          <w:szCs w:val="24"/>
        </w:rPr>
        <w:t xml:space="preserve">.</w:t>
      </w:r>
    </w:p>
    <w:p>
      <w:pPr>
        <w:spacing w:before="0" w:after="240" w:line="240" w:lineRule="auto"/>
        <w:jc w:val="left"/>
      </w:pPr>
      <w:r>
        <w:rPr>
          <w:rFonts w:ascii="Times New Roman" w:hAnsi="Times New Roman" w:cs="Times New Roman"/>
          <w:sz w:val="24"/>
          <w:szCs w:val="24"/>
        </w:rPr>
        <w:t xml:space="preserve">LEFOSSE. </w:t>
      </w:r>
      <w:r>
        <w:rPr>
          <w:rFonts w:ascii="Times New Roman" w:hAnsi="Times New Roman" w:cs="Times New Roman"/>
          <w:b/>
          <w:bCs/>
          <w:sz w:val="24"/>
          <w:szCs w:val="24"/>
        </w:rPr>
        <w:t xml:space="preserve">Redata</w:t>
      </w:r>
      <w:r>
        <w:rPr>
          <w:rFonts w:ascii="Times New Roman" w:hAnsi="Times New Roman" w:cs="Times New Roman"/>
          <w:sz w:val="24"/>
          <w:szCs w:val="24"/>
        </w:rPr>
        <w:t xml:space="preserve">: novo regime tributário para datacenters no Brasil. São Paulo: Lefosse, 2025. Disponível em: https://lefosse.com/noticias/redata-novo-regime-tributario-para-datacenters-no-brasil/. Acesso em: 1 out. 2026.</w:t>
      </w:r>
    </w:p>
    <w:p>
      <w:pPr>
        <w:spacing w:before="0" w:after="240" w:line="240" w:lineRule="auto"/>
        <w:jc w:val="left"/>
      </w:pPr>
      <w:r>
        <w:rPr>
          <w:rFonts w:ascii="Times New Roman" w:hAnsi="Times New Roman" w:cs="Times New Roman"/>
          <w:sz w:val="24"/>
          <w:szCs w:val="24"/>
        </w:rPr>
        <w:t xml:space="preserve">MACHADO MEYER. </w:t>
      </w:r>
      <w:r>
        <w:rPr>
          <w:rFonts w:ascii="Times New Roman" w:hAnsi="Times New Roman" w:cs="Times New Roman"/>
          <w:b/>
          <w:bCs/>
          <w:sz w:val="24"/>
          <w:szCs w:val="24"/>
        </w:rPr>
        <w:t xml:space="preserve">PL 278/26 busca reinstituir o Redata</w:t>
      </w:r>
      <w:r>
        <w:rPr>
          <w:rFonts w:ascii="Times New Roman" w:hAnsi="Times New Roman" w:cs="Times New Roman"/>
          <w:sz w:val="24"/>
          <w:szCs w:val="24"/>
        </w:rPr>
        <w:t xml:space="preserve">. São Paulo: Machado Meyer, 2026. Disponível em: https://www.machadomeyer.com.br/pt/inteligencia-juridica/publicacoes-ij/tributario-ij/pl-278-26-busca-reinstituir-o-redata. Acesso em: 1 out. 2026.</w:t>
      </w:r>
    </w:p>
    <w:p>
      <w:pPr>
        <w:spacing w:before="0" w:after="240" w:line="240" w:lineRule="auto"/>
        <w:jc w:val="left"/>
      </w:pPr>
      <w:r>
        <w:rPr>
          <w:rFonts w:ascii="Times New Roman" w:hAnsi="Times New Roman" w:cs="Times New Roman"/>
          <w:sz w:val="24"/>
          <w:szCs w:val="24"/>
        </w:rPr>
        <w:t xml:space="preserve">MAZZUCATO, Mariana; ENTSMINGER, Josh; KATTEL, Rainer. </w:t>
      </w:r>
      <w:r>
        <w:rPr>
          <w:rFonts w:ascii="Times New Roman" w:hAnsi="Times New Roman" w:cs="Times New Roman"/>
          <w:b/>
          <w:bCs/>
          <w:sz w:val="24"/>
          <w:szCs w:val="24"/>
        </w:rPr>
        <w:t xml:space="preserve">Public value and platform governance</w:t>
      </w:r>
      <w:r>
        <w:rPr>
          <w:rFonts w:ascii="Times New Roman" w:hAnsi="Times New Roman" w:cs="Times New Roman"/>
          <w:sz w:val="24"/>
          <w:szCs w:val="24"/>
        </w:rPr>
        <w:t xml:space="preserve">. London: UCL Institute for Innovation and Public Purpose, 2020. (IIPP Working Paper Series, WP 2020-11).</w:t>
      </w:r>
    </w:p>
    <w:p>
      <w:pPr>
        <w:spacing w:before="0" w:after="240" w:line="240" w:lineRule="auto"/>
        <w:jc w:val="left"/>
      </w:pPr>
      <w:r>
        <w:rPr>
          <w:rFonts w:ascii="Times New Roman" w:hAnsi="Times New Roman" w:cs="Times New Roman"/>
          <w:sz w:val="24"/>
          <w:szCs w:val="24"/>
        </w:rPr>
        <w:t xml:space="preserve">MENDES, Laura Schertel; FONSECA, Gabriel C. Soares da. Proteção de dados para além do consentimento: tendências contemporâneas de materialização. </w:t>
      </w:r>
      <w:r>
        <w:rPr>
          <w:rFonts w:ascii="Times New Roman" w:hAnsi="Times New Roman" w:cs="Times New Roman"/>
          <w:b/>
          <w:bCs/>
          <w:sz w:val="24"/>
          <w:szCs w:val="24"/>
        </w:rPr>
        <w:t xml:space="preserve">Revista Estudos Institucionais</w:t>
      </w:r>
      <w:r>
        <w:rPr>
          <w:rFonts w:ascii="Times New Roman" w:hAnsi="Times New Roman" w:cs="Times New Roman"/>
          <w:sz w:val="24"/>
          <w:szCs w:val="24"/>
        </w:rPr>
        <w:t xml:space="preserve">, Rio de Janeiro, v. 6, n. 2, p. 507-533, 2020. DOI: 10.21783/rei.v6i2.521.</w:t>
      </w:r>
    </w:p>
    <w:p>
      <w:pPr>
        <w:spacing w:before="0" w:after="240" w:line="240" w:lineRule="auto"/>
        <w:jc w:val="left"/>
      </w:pPr>
      <w:r>
        <w:rPr>
          <w:rFonts w:ascii="Times New Roman" w:hAnsi="Times New Roman" w:cs="Times New Roman"/>
          <w:sz w:val="24"/>
          <w:szCs w:val="24"/>
        </w:rPr>
        <w:t xml:space="preserve">META PLATFORMS. </w:t>
      </w:r>
      <w:r>
        <w:rPr>
          <w:rFonts w:ascii="Times New Roman" w:hAnsi="Times New Roman" w:cs="Times New Roman"/>
          <w:b/>
          <w:bCs/>
          <w:sz w:val="24"/>
          <w:szCs w:val="24"/>
        </w:rPr>
        <w:t xml:space="preserve">Form 10-K</w:t>
      </w:r>
      <w:r>
        <w:rPr>
          <w:rFonts w:ascii="Times New Roman" w:hAnsi="Times New Roman" w:cs="Times New Roman"/>
          <w:sz w:val="24"/>
          <w:szCs w:val="24"/>
        </w:rPr>
        <w:t xml:space="preserve">: annual report for the fiscal year ended December 31, 2025. Menlo Park: Meta Platforms, 2026. Disponível em: https://www.sec.gov/Archives/edgar/data/1326801/000162828026003942/meta-20251231.htm. Acesso em: 1 out. 2026.</w:t>
      </w:r>
    </w:p>
    <w:p>
      <w:pPr>
        <w:spacing w:before="0" w:after="240" w:line="240" w:lineRule="auto"/>
        <w:jc w:val="left"/>
      </w:pPr>
      <w:r>
        <w:rPr>
          <w:rFonts w:ascii="Times New Roman" w:hAnsi="Times New Roman" w:cs="Times New Roman"/>
          <w:sz w:val="24"/>
          <w:szCs w:val="24"/>
        </w:rPr>
        <w:t xml:space="preserve">MITCHELL, Jonathan; KER, Daniel; LESHER, Molly. </w:t>
      </w:r>
      <w:r>
        <w:rPr>
          <w:rFonts w:ascii="Times New Roman" w:hAnsi="Times New Roman" w:cs="Times New Roman"/>
          <w:b/>
          <w:bCs/>
          <w:sz w:val="24"/>
          <w:szCs w:val="24"/>
        </w:rPr>
        <w:t xml:space="preserve">Measuring the economic value of data</w:t>
      </w:r>
      <w:r>
        <w:rPr>
          <w:rFonts w:ascii="Times New Roman" w:hAnsi="Times New Roman" w:cs="Times New Roman"/>
          <w:sz w:val="24"/>
          <w:szCs w:val="24"/>
        </w:rPr>
        <w:t xml:space="preserve">. Paris: OECD Publishing, 2021. (OECD Going Digital Toolkit Notes, n. 20).</w:t>
      </w:r>
    </w:p>
    <w:p>
      <w:pPr>
        <w:spacing w:before="0" w:after="240" w:line="240" w:lineRule="auto"/>
        <w:jc w:val="left"/>
      </w:pPr>
      <w:r>
        <w:rPr>
          <w:rFonts w:ascii="Times New Roman" w:hAnsi="Times New Roman" w:cs="Times New Roman"/>
          <w:sz w:val="24"/>
          <w:szCs w:val="24"/>
        </w:rPr>
        <w:t xml:space="preserve">NAKAGAWA, [prenome a conferir]. [Texto sobre a queda de WhatsApp, Instagram e Facebook em 4 out. 2021 e seus efeitos sobre pequenos negócios; título e veículo a conferir]. [S. l.], 2021.</w:t>
      </w:r>
    </w:p>
    <w:p>
      <w:pPr>
        <w:spacing w:before="0" w:after="240" w:line="240" w:lineRule="auto"/>
        <w:jc w:val="left"/>
      </w:pPr>
      <w:r>
        <w:rPr>
          <w:rFonts w:ascii="Times New Roman" w:hAnsi="Times New Roman" w:cs="Times New Roman"/>
          <w:sz w:val="24"/>
          <w:szCs w:val="24"/>
        </w:rPr>
        <w:t xml:space="preserve">NIC.BR – NÚCLEO DE INFORMAÇÃO E COORDENAÇÃO DO PONTO BR. </w:t>
      </w:r>
      <w:r>
        <w:rPr>
          <w:rFonts w:ascii="Times New Roman" w:hAnsi="Times New Roman" w:cs="Times New Roman"/>
          <w:b/>
          <w:bCs/>
          <w:sz w:val="24"/>
          <w:szCs w:val="24"/>
        </w:rPr>
        <w:t xml:space="preserve">TIC Domicílios 2025</w:t>
      </w:r>
      <w:r>
        <w:rPr>
          <w:rFonts w:ascii="Times New Roman" w:hAnsi="Times New Roman" w:cs="Times New Roman"/>
          <w:sz w:val="24"/>
          <w:szCs w:val="24"/>
        </w:rPr>
        <w:t xml:space="preserve">: principais resultados. São Paulo: Comitê Gestor da Internet no Brasil, 2025. Disponível em: https://cetic.br/media/analises/tic_domicilios_2025_principais_resultados.pdf. Acesso em: 1 out. 2026.</w:t>
      </w:r>
    </w:p>
    <w:p>
      <w:pPr>
        <w:spacing w:before="0" w:after="240" w:line="240" w:lineRule="auto"/>
        <w:jc w:val="left"/>
      </w:pPr>
      <w:r>
        <w:rPr>
          <w:rFonts w:ascii="Times New Roman" w:hAnsi="Times New Roman" w:cs="Times New Roman"/>
          <w:sz w:val="24"/>
          <w:szCs w:val="24"/>
        </w:rPr>
        <w:t xml:space="preserve">NOLIN, Jan Michael. Data as oil, infrastructure or asset? Three metaphors of data as economic value. </w:t>
      </w:r>
      <w:r>
        <w:rPr>
          <w:rFonts w:ascii="Times New Roman" w:hAnsi="Times New Roman" w:cs="Times New Roman"/>
          <w:b/>
          <w:bCs/>
          <w:sz w:val="24"/>
          <w:szCs w:val="24"/>
        </w:rPr>
        <w:t xml:space="preserve">Journal of Information, Communication and Ethics in Society</w:t>
      </w:r>
      <w:r>
        <w:rPr>
          <w:rFonts w:ascii="Times New Roman" w:hAnsi="Times New Roman" w:cs="Times New Roman"/>
          <w:sz w:val="24"/>
          <w:szCs w:val="24"/>
        </w:rPr>
        <w:t xml:space="preserve">, [s. l.], v. 18, n. 1, p. 28-43, 2020. DOI: 10.1108/JICES-04-2019-0044.</w:t>
      </w:r>
    </w:p>
    <w:p>
      <w:pPr>
        <w:spacing w:before="0" w:after="240" w:line="240" w:lineRule="auto"/>
        <w:jc w:val="left"/>
      </w:pPr>
      <w:r>
        <w:rPr>
          <w:rFonts w:ascii="Times New Roman" w:hAnsi="Times New Roman" w:cs="Times New Roman"/>
          <w:sz w:val="24"/>
          <w:szCs w:val="24"/>
        </w:rPr>
        <w:t xml:space="preserve">OCDE – ORGANIZAÇÃO PARA A COOPERAÇÃO E DESENVOLVIMENTO ECONÔMICO. </w:t>
      </w:r>
      <w:r>
        <w:rPr>
          <w:rFonts w:ascii="Times New Roman" w:hAnsi="Times New Roman" w:cs="Times New Roman"/>
          <w:b/>
          <w:bCs/>
          <w:sz w:val="24"/>
          <w:szCs w:val="24"/>
        </w:rPr>
        <w:t xml:space="preserve">A blueprint for building national compute capacity for artificial intelligence</w:t>
      </w:r>
      <w:r>
        <w:rPr>
          <w:rFonts w:ascii="Times New Roman" w:hAnsi="Times New Roman" w:cs="Times New Roman"/>
          <w:sz w:val="24"/>
          <w:szCs w:val="24"/>
        </w:rPr>
        <w:t xml:space="preserve">. Paris: OECD Publishing, 2023. (OECD Digital Economy Papers, n. 350).</w:t>
      </w:r>
    </w:p>
    <w:p>
      <w:pPr>
        <w:spacing w:before="0" w:after="240" w:line="240" w:lineRule="auto"/>
        <w:jc w:val="left"/>
      </w:pPr>
      <w:r>
        <w:rPr>
          <w:rFonts w:ascii="Times New Roman" w:hAnsi="Times New Roman" w:cs="Times New Roman"/>
          <w:sz w:val="24"/>
          <w:szCs w:val="24"/>
        </w:rPr>
        <w:t xml:space="preserve">OLIVEIRA, Roberto Véras de; FESTI, Ricardo Colturato. Entregadores de aplicativos no Brasil: entre a subordinação e a “autonomia”. </w:t>
      </w:r>
      <w:r>
        <w:rPr>
          <w:rFonts w:ascii="Times New Roman" w:hAnsi="Times New Roman" w:cs="Times New Roman"/>
          <w:b/>
          <w:bCs/>
          <w:sz w:val="24"/>
          <w:szCs w:val="24"/>
        </w:rPr>
        <w:t xml:space="preserve">Contemporânea</w:t>
      </w:r>
      <w:r>
        <w:rPr>
          <w:rFonts w:ascii="Times New Roman" w:hAnsi="Times New Roman" w:cs="Times New Roman"/>
          <w:sz w:val="24"/>
          <w:szCs w:val="24"/>
        </w:rPr>
        <w:t xml:space="preserve">: Revista de Sociologia da UFSCar, São Carlos, v. 13, n. 1, p. 55-80, jan./abr. 2023. DOI: 10.4322/2316-1329.2023003.</w:t>
      </w:r>
    </w:p>
    <w:p>
      <w:pPr>
        <w:spacing w:before="0" w:after="240" w:line="240" w:lineRule="auto"/>
        <w:jc w:val="left"/>
      </w:pPr>
      <w:r>
        <w:rPr>
          <w:rFonts w:ascii="Times New Roman" w:hAnsi="Times New Roman" w:cs="Times New Roman"/>
          <w:sz w:val="24"/>
          <w:szCs w:val="24"/>
        </w:rPr>
        <w:t xml:space="preserve">PAULO, [prenome a conferir]. [Título a conferir]. </w:t>
      </w:r>
      <w:r>
        <w:rPr>
          <w:rFonts w:ascii="Times New Roman" w:hAnsi="Times New Roman" w:cs="Times New Roman"/>
          <w:b/>
          <w:bCs/>
          <w:sz w:val="24"/>
          <w:szCs w:val="24"/>
        </w:rPr>
        <w:t xml:space="preserve">Teletime</w:t>
      </w:r>
      <w:r>
        <w:rPr>
          <w:rFonts w:ascii="Times New Roman" w:hAnsi="Times New Roman" w:cs="Times New Roman"/>
          <w:sz w:val="24"/>
          <w:szCs w:val="24"/>
        </w:rPr>
        <w:t xml:space="preserve">, São Paulo, 15 maio 2026. Disponível em: https://teletime.com.br/15/05/2026/mcti-colonia-digital-dependencia-brasil/. Acesso em: 2 out. 2026.</w:t>
      </w:r>
    </w:p>
    <w:p>
      <w:pPr>
        <w:spacing w:before="0" w:after="240" w:line="240" w:lineRule="auto"/>
        <w:jc w:val="left"/>
      </w:pPr>
      <w:r>
        <w:rPr>
          <w:rFonts w:ascii="Times New Roman" w:hAnsi="Times New Roman" w:cs="Times New Roman"/>
          <w:sz w:val="24"/>
          <w:szCs w:val="24"/>
        </w:rPr>
        <w:t xml:space="preserve">PLANTIN, Jean-Christophe; LAGOZE, Carl; EDWARDS, Paul N.; SANDVIG, Christian. Infrastructure studies meet platform studies in the age of Google and Facebook. </w:t>
      </w:r>
      <w:r>
        <w:rPr>
          <w:rFonts w:ascii="Times New Roman" w:hAnsi="Times New Roman" w:cs="Times New Roman"/>
          <w:b/>
          <w:bCs/>
          <w:sz w:val="24"/>
          <w:szCs w:val="24"/>
        </w:rPr>
        <w:t xml:space="preserve">New Media &amp; Society</w:t>
      </w:r>
      <w:r>
        <w:rPr>
          <w:rFonts w:ascii="Times New Roman" w:hAnsi="Times New Roman" w:cs="Times New Roman"/>
          <w:sz w:val="24"/>
          <w:szCs w:val="24"/>
        </w:rPr>
        <w:t xml:space="preserve">, [s. l.], 2016. Publicado on-line antes da versão impressa (v. 20, n. 1, p. 293-310, 2018). DOI: 10.1177/1461444816661553.</w:t>
      </w:r>
    </w:p>
    <w:p>
      <w:pPr>
        <w:spacing w:before="0" w:after="240" w:line="240" w:lineRule="auto"/>
        <w:jc w:val="left"/>
      </w:pPr>
      <w:r>
        <w:rPr>
          <w:rFonts w:ascii="Times New Roman" w:hAnsi="Times New Roman" w:cs="Times New Roman"/>
          <w:sz w:val="24"/>
          <w:szCs w:val="24"/>
        </w:rPr>
        <w:t xml:space="preserve">POHLE, Julia; THIEL, Thorsten. Digital sovereignty. </w:t>
      </w:r>
      <w:r>
        <w:rPr>
          <w:rFonts w:ascii="Times New Roman" w:hAnsi="Times New Roman" w:cs="Times New Roman"/>
          <w:b/>
          <w:bCs/>
          <w:sz w:val="24"/>
          <w:szCs w:val="24"/>
        </w:rPr>
        <w:t xml:space="preserve">Internet Policy Review</w:t>
      </w:r>
      <w:r>
        <w:rPr>
          <w:rFonts w:ascii="Times New Roman" w:hAnsi="Times New Roman" w:cs="Times New Roman"/>
          <w:sz w:val="24"/>
          <w:szCs w:val="24"/>
        </w:rPr>
        <w:t xml:space="preserve">, Berlin, v. 9, n. 4, 2020.</w:t>
      </w:r>
    </w:p>
    <w:p>
      <w:pPr>
        <w:spacing w:before="0" w:after="240" w:line="240" w:lineRule="auto"/>
        <w:jc w:val="left"/>
      </w:pPr>
      <w:r>
        <w:rPr>
          <w:rFonts w:ascii="Times New Roman" w:hAnsi="Times New Roman" w:cs="Times New Roman"/>
          <w:sz w:val="24"/>
          <w:szCs w:val="24"/>
        </w:rPr>
        <w:t xml:space="preserve">PRAINSACK, Barbara. Logged out: ownership, exclusion and public value in the digital data and information commons. </w:t>
      </w:r>
      <w:r>
        <w:rPr>
          <w:rFonts w:ascii="Times New Roman" w:hAnsi="Times New Roman" w:cs="Times New Roman"/>
          <w:b/>
          <w:bCs/>
          <w:sz w:val="24"/>
          <w:szCs w:val="24"/>
        </w:rPr>
        <w:t xml:space="preserve">Big Data &amp; Society</w:t>
      </w:r>
      <w:r>
        <w:rPr>
          <w:rFonts w:ascii="Times New Roman" w:hAnsi="Times New Roman" w:cs="Times New Roman"/>
          <w:sz w:val="24"/>
          <w:szCs w:val="24"/>
        </w:rPr>
        <w:t xml:space="preserve">, [s. l.], v. 6, n. 1, 2019. DOI: 10.1177/2053951719829773.</w:t>
      </w:r>
    </w:p>
    <w:p>
      <w:pPr>
        <w:spacing w:before="0" w:after="240" w:line="240" w:lineRule="auto"/>
        <w:jc w:val="left"/>
      </w:pPr>
      <w:r>
        <w:rPr>
          <w:rFonts w:ascii="Times New Roman" w:hAnsi="Times New Roman" w:cs="Times New Roman"/>
          <w:sz w:val="24"/>
          <w:szCs w:val="24"/>
        </w:rPr>
        <w:t xml:space="preserve">PROSUS vira dona do iFood após compra de fatia remanescente por até R$ 9,4 bilhões. </w:t>
      </w:r>
      <w:r>
        <w:rPr>
          <w:rFonts w:ascii="Times New Roman" w:hAnsi="Times New Roman" w:cs="Times New Roman"/>
          <w:b/>
          <w:bCs/>
          <w:sz w:val="24"/>
          <w:szCs w:val="24"/>
        </w:rPr>
        <w:t xml:space="preserve">Forbes Brasil</w:t>
      </w:r>
      <w:r>
        <w:rPr>
          <w:rFonts w:ascii="Times New Roman" w:hAnsi="Times New Roman" w:cs="Times New Roman"/>
          <w:sz w:val="24"/>
          <w:szCs w:val="24"/>
        </w:rPr>
        <w:t xml:space="preserve">, São Paulo, ago. 2022. Disponível em: https://forbes.com.br/forbes-money/2022/08/prosus-vira-dona-do-ifood-apos-compra-de-fatia-remanescente-por-ate-r-94-bilhoes/. Acesso em: 2 out. 2026.</w:t>
      </w:r>
    </w:p>
    <w:p>
      <w:pPr>
        <w:spacing w:before="0" w:after="240" w:line="240" w:lineRule="auto"/>
        <w:jc w:val="left"/>
      </w:pPr>
      <w:r>
        <w:rPr>
          <w:rFonts w:ascii="Times New Roman" w:hAnsi="Times New Roman" w:cs="Times New Roman"/>
          <w:sz w:val="24"/>
          <w:szCs w:val="24"/>
        </w:rPr>
        <w:t xml:space="preserve">RÚSSIA. </w:t>
      </w:r>
      <w:r>
        <w:rPr>
          <w:rFonts w:ascii="Times New Roman" w:hAnsi="Times New Roman" w:cs="Times New Roman"/>
          <w:b/>
          <w:bCs/>
          <w:sz w:val="24"/>
          <w:szCs w:val="24"/>
        </w:rPr>
        <w:t xml:space="preserve">Lei Federal nº 90-FZ, de 1º de maio de 2019</w:t>
      </w:r>
      <w:r>
        <w:rPr>
          <w:rFonts w:ascii="Times New Roman" w:hAnsi="Times New Roman" w:cs="Times New Roman"/>
          <w:sz w:val="24"/>
          <w:szCs w:val="24"/>
        </w:rPr>
        <w:t xml:space="preserve">. Altera a Lei Federal sobre Comunicações e a Lei Federal sobre Informação, Tecnologias da Informação e Proteção da Informação. Moscou, 2019.</w:t>
      </w:r>
    </w:p>
    <w:p>
      <w:pPr>
        <w:spacing w:before="0" w:after="240" w:line="240" w:lineRule="auto"/>
        <w:jc w:val="left"/>
      </w:pPr>
      <w:r>
        <w:rPr>
          <w:rFonts w:ascii="Times New Roman" w:hAnsi="Times New Roman" w:cs="Times New Roman"/>
          <w:sz w:val="24"/>
          <w:szCs w:val="24"/>
        </w:rPr>
        <w:t xml:space="preserve">SADOWSKI, Jathan. When data is capital: datafication, accumulation, and extraction. </w:t>
      </w:r>
      <w:r>
        <w:rPr>
          <w:rFonts w:ascii="Times New Roman" w:hAnsi="Times New Roman" w:cs="Times New Roman"/>
          <w:b/>
          <w:bCs/>
          <w:sz w:val="24"/>
          <w:szCs w:val="24"/>
        </w:rPr>
        <w:t xml:space="preserve">Big Data &amp; Society</w:t>
      </w:r>
      <w:r>
        <w:rPr>
          <w:rFonts w:ascii="Times New Roman" w:hAnsi="Times New Roman" w:cs="Times New Roman"/>
          <w:sz w:val="24"/>
          <w:szCs w:val="24"/>
        </w:rPr>
        <w:t xml:space="preserve">, [s. l.], v. 6, n. 1, 2019. DOI: 10.1177/2053951718820549.</w:t>
      </w:r>
    </w:p>
    <w:p>
      <w:pPr>
        <w:spacing w:before="0" w:after="240" w:line="240" w:lineRule="auto"/>
        <w:jc w:val="left"/>
      </w:pPr>
      <w:r>
        <w:rPr>
          <w:rFonts w:ascii="Times New Roman" w:hAnsi="Times New Roman" w:cs="Times New Roman"/>
          <w:sz w:val="24"/>
          <w:szCs w:val="24"/>
        </w:rPr>
        <w:t xml:space="preserve">SCHNEIER, Bruce. Privacy in the age of persistence. </w:t>
      </w:r>
      <w:r>
        <w:rPr>
          <w:rFonts w:ascii="Times New Roman" w:hAnsi="Times New Roman" w:cs="Times New Roman"/>
          <w:b/>
          <w:bCs/>
          <w:sz w:val="24"/>
          <w:szCs w:val="24"/>
        </w:rPr>
        <w:t xml:space="preserve">BBC News</w:t>
      </w:r>
      <w:r>
        <w:rPr>
          <w:rFonts w:ascii="Times New Roman" w:hAnsi="Times New Roman" w:cs="Times New Roman"/>
          <w:sz w:val="24"/>
          <w:szCs w:val="24"/>
        </w:rPr>
        <w:t xml:space="preserve">, [s. l.], 26 fev. 2009. Disponível em: https://www.schneier.com/essays/archives/2009/02/privacy_in_the_age_o.html. Acesso em: 2 out. 2026.</w:t>
      </w:r>
    </w:p>
    <w:p>
      <w:pPr>
        <w:spacing w:before="0" w:after="240" w:line="240" w:lineRule="auto"/>
        <w:jc w:val="left"/>
      </w:pPr>
      <w:r>
        <w:rPr>
          <w:rFonts w:ascii="Times New Roman" w:hAnsi="Times New Roman" w:cs="Times New Roman"/>
          <w:sz w:val="24"/>
          <w:szCs w:val="24"/>
        </w:rPr>
        <w:t xml:space="preserve">SCHNEIER, Bruce. Data is a toxic asset. </w:t>
      </w:r>
      <w:r>
        <w:rPr>
          <w:rFonts w:ascii="Times New Roman" w:hAnsi="Times New Roman" w:cs="Times New Roman"/>
          <w:b/>
          <w:bCs/>
          <w:sz w:val="24"/>
          <w:szCs w:val="24"/>
        </w:rPr>
        <w:t xml:space="preserve">CNN</w:t>
      </w:r>
      <w:r>
        <w:rPr>
          <w:rFonts w:ascii="Times New Roman" w:hAnsi="Times New Roman" w:cs="Times New Roman"/>
          <w:sz w:val="24"/>
          <w:szCs w:val="24"/>
        </w:rPr>
        <w:t xml:space="preserve">, [s. l.], 4 mar. 2016. Disponível em: https://www.schneier.com/blog/archives/2016/03/data_is_a_toxic.html. Acesso em: 2 out. 2026.</w:t>
      </w:r>
    </w:p>
    <w:p>
      <w:pPr>
        <w:spacing w:before="0" w:after="240" w:line="240" w:lineRule="auto"/>
        <w:jc w:val="left"/>
      </w:pPr>
      <w:r>
        <w:rPr>
          <w:rFonts w:ascii="Times New Roman" w:hAnsi="Times New Roman" w:cs="Times New Roman"/>
          <w:sz w:val="24"/>
          <w:szCs w:val="24"/>
        </w:rPr>
        <w:t xml:space="preserve">SEBRAE – SERVIÇO BRASILEIRO DE APOIO ÀS MICRO E PEQUENAS EMPRESAS. </w:t>
      </w:r>
      <w:r>
        <w:rPr>
          <w:rFonts w:ascii="Times New Roman" w:hAnsi="Times New Roman" w:cs="Times New Roman"/>
          <w:b/>
          <w:bCs/>
          <w:sz w:val="24"/>
          <w:szCs w:val="24"/>
        </w:rPr>
        <w:t xml:space="preserve">O impacto da pandemia de coronavírus nos pequenos negócios</w:t>
      </w:r>
      <w:r>
        <w:rPr>
          <w:rFonts w:ascii="Times New Roman" w:hAnsi="Times New Roman" w:cs="Times New Roman"/>
          <w:sz w:val="24"/>
          <w:szCs w:val="24"/>
        </w:rPr>
        <w:t xml:space="preserve">: 13. edição. Brasília, DF: Sebrae; FGV, 2021.</w:t>
      </w:r>
    </w:p>
    <w:p>
      <w:pPr>
        <w:spacing w:before="0" w:after="240" w:line="240" w:lineRule="auto"/>
        <w:jc w:val="left"/>
      </w:pPr>
      <w:r>
        <w:rPr>
          <w:rFonts w:ascii="Times New Roman" w:hAnsi="Times New Roman" w:cs="Times New Roman"/>
          <w:sz w:val="24"/>
          <w:szCs w:val="24"/>
        </w:rPr>
        <w:t xml:space="preserve">SHKABATUR, Jennifer. The global commons of data. </w:t>
      </w:r>
      <w:r>
        <w:rPr>
          <w:rFonts w:ascii="Times New Roman" w:hAnsi="Times New Roman" w:cs="Times New Roman"/>
          <w:b/>
          <w:bCs/>
          <w:sz w:val="24"/>
          <w:szCs w:val="24"/>
        </w:rPr>
        <w:t xml:space="preserve">Stanford Technology Law Review</w:t>
      </w:r>
      <w:r>
        <w:rPr>
          <w:rFonts w:ascii="Times New Roman" w:hAnsi="Times New Roman" w:cs="Times New Roman"/>
          <w:sz w:val="24"/>
          <w:szCs w:val="24"/>
        </w:rPr>
        <w:t xml:space="preserve">, Stanford, v. 22, p. 354-411, 2019.</w:t>
      </w:r>
    </w:p>
    <w:p>
      <w:pPr>
        <w:spacing w:before="0" w:after="240" w:line="240" w:lineRule="auto"/>
        <w:jc w:val="left"/>
      </w:pPr>
      <w:r>
        <w:rPr>
          <w:rFonts w:ascii="Times New Roman" w:hAnsi="Times New Roman" w:cs="Times New Roman"/>
          <w:sz w:val="24"/>
          <w:szCs w:val="24"/>
        </w:rPr>
        <w:t xml:space="preserve">SINGH, Parminder Jeet; GURUMURTHY, Anita. </w:t>
      </w:r>
      <w:r>
        <w:rPr>
          <w:rFonts w:ascii="Times New Roman" w:hAnsi="Times New Roman" w:cs="Times New Roman"/>
          <w:b/>
          <w:bCs/>
          <w:sz w:val="24"/>
          <w:szCs w:val="24"/>
        </w:rPr>
        <w:t xml:space="preserve">Economic governance of data</w:t>
      </w:r>
      <w:r>
        <w:rPr>
          <w:rFonts w:ascii="Times New Roman" w:hAnsi="Times New Roman" w:cs="Times New Roman"/>
          <w:sz w:val="24"/>
          <w:szCs w:val="24"/>
        </w:rPr>
        <w:t xml:space="preserve">: balancing individualist-property approaches with a community rights framework. Bengaluru: IT for Change, 2021.</w:t>
      </w:r>
    </w:p>
    <w:p>
      <w:pPr>
        <w:spacing w:before="0" w:after="240" w:line="240" w:lineRule="auto"/>
        <w:jc w:val="left"/>
      </w:pPr>
      <w:r>
        <w:rPr>
          <w:rFonts w:ascii="Times New Roman" w:hAnsi="Times New Roman" w:cs="Times New Roman"/>
          <w:sz w:val="24"/>
          <w:szCs w:val="24"/>
        </w:rPr>
        <w:t xml:space="preserve">SOLOVE, Daniel J.; CITRON, Danielle Keats. Risk and anxiety: a theory of data-breach harms. </w:t>
      </w:r>
      <w:r>
        <w:rPr>
          <w:rFonts w:ascii="Times New Roman" w:hAnsi="Times New Roman" w:cs="Times New Roman"/>
          <w:b/>
          <w:bCs/>
          <w:sz w:val="24"/>
          <w:szCs w:val="24"/>
        </w:rPr>
        <w:t xml:space="preserve">Texas Law Review</w:t>
      </w:r>
      <w:r>
        <w:rPr>
          <w:rFonts w:ascii="Times New Roman" w:hAnsi="Times New Roman" w:cs="Times New Roman"/>
          <w:sz w:val="24"/>
          <w:szCs w:val="24"/>
        </w:rPr>
        <w:t xml:space="preserve">, Austin, v. 96, p. 737-786, 2018.</w:t>
      </w:r>
    </w:p>
    <w:p>
      <w:pPr>
        <w:spacing w:before="0" w:after="240" w:line="240" w:lineRule="auto"/>
        <w:jc w:val="left"/>
      </w:pPr>
      <w:r>
        <w:rPr>
          <w:rFonts w:ascii="Times New Roman" w:hAnsi="Times New Roman" w:cs="Times New Roman"/>
          <w:sz w:val="24"/>
          <w:szCs w:val="24"/>
        </w:rPr>
        <w:t xml:space="preserve">TILSON, David; LYYTINEN, Kalle; SØRENSEN, Carsten. Digital infrastructures: the missing IS research agenda. </w:t>
      </w:r>
      <w:r>
        <w:rPr>
          <w:rFonts w:ascii="Times New Roman" w:hAnsi="Times New Roman" w:cs="Times New Roman"/>
          <w:b/>
          <w:bCs/>
          <w:sz w:val="24"/>
          <w:szCs w:val="24"/>
        </w:rPr>
        <w:t xml:space="preserve">Information Systems Research</w:t>
      </w:r>
      <w:r>
        <w:rPr>
          <w:rFonts w:ascii="Times New Roman" w:hAnsi="Times New Roman" w:cs="Times New Roman"/>
          <w:sz w:val="24"/>
          <w:szCs w:val="24"/>
        </w:rPr>
        <w:t xml:space="preserve">, [s. l.], v. 21, n. 4, p. 748-759, 2010.</w:t>
      </w:r>
    </w:p>
    <w:p>
      <w:pPr>
        <w:spacing w:before="0" w:after="240" w:line="240" w:lineRule="auto"/>
        <w:jc w:val="left"/>
      </w:pPr>
      <w:r>
        <w:rPr>
          <w:rFonts w:ascii="Times New Roman" w:hAnsi="Times New Roman" w:cs="Times New Roman"/>
          <w:sz w:val="24"/>
          <w:szCs w:val="24"/>
        </w:rPr>
        <w:t xml:space="preserve">UNCTAD – UNITED NATIONS CONFERENCE ON TRADE AND DEVELOPMENT. </w:t>
      </w:r>
      <w:r>
        <w:rPr>
          <w:rFonts w:ascii="Times New Roman" w:hAnsi="Times New Roman" w:cs="Times New Roman"/>
          <w:b/>
          <w:bCs/>
          <w:sz w:val="24"/>
          <w:szCs w:val="24"/>
        </w:rPr>
        <w:t xml:space="preserve">Digital economy report 2021</w:t>
      </w:r>
      <w:r>
        <w:rPr>
          <w:rFonts w:ascii="Times New Roman" w:hAnsi="Times New Roman" w:cs="Times New Roman"/>
          <w:sz w:val="24"/>
          <w:szCs w:val="24"/>
        </w:rPr>
        <w:t xml:space="preserve">: cross-border data flows and development: for whom the data flow. Geneva: United Nations, 2021.</w:t>
      </w:r>
    </w:p>
    <w:p>
      <w:pPr>
        <w:spacing w:before="0" w:after="240" w:line="240" w:lineRule="auto"/>
        <w:jc w:val="left"/>
      </w:pPr>
      <w:r>
        <w:rPr>
          <w:rFonts w:ascii="Times New Roman" w:hAnsi="Times New Roman" w:cs="Times New Roman"/>
          <w:sz w:val="24"/>
          <w:szCs w:val="24"/>
        </w:rPr>
        <w:t xml:space="preserve">UNIÃO EUROPEIA. Regulamento (UE) 2022/868 do Parlamento Europeu e do Conselho, de 30 de maio de 2022, relativo à governação europeia de dados (Regulamento Governação de Dados). </w:t>
      </w:r>
      <w:r>
        <w:rPr>
          <w:rFonts w:ascii="Times New Roman" w:hAnsi="Times New Roman" w:cs="Times New Roman"/>
          <w:b/>
          <w:bCs/>
          <w:sz w:val="24"/>
          <w:szCs w:val="24"/>
        </w:rPr>
        <w:t xml:space="preserve">Jornal Oficial da União Europeia</w:t>
      </w:r>
      <w:r>
        <w:rPr>
          <w:rFonts w:ascii="Times New Roman" w:hAnsi="Times New Roman" w:cs="Times New Roman"/>
          <w:sz w:val="24"/>
          <w:szCs w:val="24"/>
        </w:rPr>
        <w:t xml:space="preserve">, Luxemburgo, L 152, p. 1-44, 3 jun. 2022a.</w:t>
      </w:r>
    </w:p>
    <w:p>
      <w:pPr>
        <w:spacing w:before="0" w:after="240" w:line="240" w:lineRule="auto"/>
        <w:jc w:val="left"/>
      </w:pPr>
      <w:r>
        <w:rPr>
          <w:rFonts w:ascii="Times New Roman" w:hAnsi="Times New Roman" w:cs="Times New Roman"/>
          <w:sz w:val="24"/>
          <w:szCs w:val="24"/>
        </w:rPr>
        <w:t xml:space="preserve">UNIÃO EUROPEIA. Regulamento (UE) 2022/1925 do Parlamento Europeu e do Conselho, de 14 de setembro de 2022, relativo à disputabilidade e equidade dos mercados no setor digital (Regulamento dos Mercados Digitais). </w:t>
      </w:r>
      <w:r>
        <w:rPr>
          <w:rFonts w:ascii="Times New Roman" w:hAnsi="Times New Roman" w:cs="Times New Roman"/>
          <w:b/>
          <w:bCs/>
          <w:sz w:val="24"/>
          <w:szCs w:val="24"/>
        </w:rPr>
        <w:t xml:space="preserve">Jornal Oficial da União Europeia</w:t>
      </w:r>
      <w:r>
        <w:rPr>
          <w:rFonts w:ascii="Times New Roman" w:hAnsi="Times New Roman" w:cs="Times New Roman"/>
          <w:sz w:val="24"/>
          <w:szCs w:val="24"/>
        </w:rPr>
        <w:t xml:space="preserve">, Luxemburgo, L 265, p. 1-66, 12 out. 2022b.</w:t>
      </w:r>
    </w:p>
    <w:p>
      <w:pPr>
        <w:spacing w:before="0" w:after="240" w:line="240" w:lineRule="auto"/>
        <w:jc w:val="left"/>
      </w:pPr>
      <w:r>
        <w:rPr>
          <w:rFonts w:ascii="Times New Roman" w:hAnsi="Times New Roman" w:cs="Times New Roman"/>
          <w:sz w:val="24"/>
          <w:szCs w:val="24"/>
        </w:rPr>
        <w:t xml:space="preserve">USTR – OFFICE OF THE UNITED STATES TRADE REPRESENTATIVE. </w:t>
      </w:r>
      <w:r>
        <w:rPr>
          <w:rFonts w:ascii="Times New Roman" w:hAnsi="Times New Roman" w:cs="Times New Roman"/>
          <w:b/>
          <w:bCs/>
          <w:sz w:val="24"/>
          <w:szCs w:val="24"/>
        </w:rPr>
        <w:t xml:space="preserve">USTR Section 301 action on Brazil’s unreasonable acts, policies, and practices</w:t>
      </w:r>
      <w:r>
        <w:rPr>
          <w:rFonts w:ascii="Times New Roman" w:hAnsi="Times New Roman" w:cs="Times New Roman"/>
          <w:sz w:val="24"/>
          <w:szCs w:val="24"/>
        </w:rPr>
        <w:t xml:space="preserve">. Washington, DC: USTR, 15 jul. 2026. Disponível em: https://ustr.gov/about/policy-offices/press-office/press-releases/2026/july/ustr-section-301-action-brazils-unreasonable-acts-policies-and-practices. Acesso em: 1 out. 2026.</w:t>
      </w:r>
    </w:p>
    <w:p>
      <w:pPr>
        <w:spacing w:before="0" w:after="240" w:line="240" w:lineRule="auto"/>
        <w:jc w:val="left"/>
      </w:pPr>
      <w:r>
        <w:rPr>
          <w:rFonts w:ascii="Times New Roman" w:hAnsi="Times New Roman" w:cs="Times New Roman"/>
          <w:sz w:val="24"/>
          <w:szCs w:val="24"/>
        </w:rPr>
        <w:t xml:space="preserve">VIANNA, Fernando Ressetti Pinheiro Marques. Se os dados são o novo petróleo, onde estão os royalties? O neoliberalismo na era dos dados. </w:t>
      </w:r>
      <w:r>
        <w:rPr>
          <w:rFonts w:ascii="Times New Roman" w:hAnsi="Times New Roman" w:cs="Times New Roman"/>
          <w:b/>
          <w:bCs/>
          <w:sz w:val="24"/>
          <w:szCs w:val="24"/>
        </w:rPr>
        <w:t xml:space="preserve">Gestão &amp; Conexões</w:t>
      </w:r>
      <w:r>
        <w:rPr>
          <w:rFonts w:ascii="Times New Roman" w:hAnsi="Times New Roman" w:cs="Times New Roman"/>
          <w:sz w:val="24"/>
          <w:szCs w:val="24"/>
        </w:rPr>
        <w:t xml:space="preserve">, Vitória, v. 10, n. 3, p. 123-143, set./dez. 2021. DOI: 10.47456/regec.2317-5087.2021.10.3.36014.123-143.</w:t>
      </w:r>
    </w:p>
    <w:p>
      <w:pPr>
        <w:spacing w:before="0" w:after="240" w:line="240" w:lineRule="auto"/>
        <w:jc w:val="left"/>
      </w:pPr>
      <w:r>
        <w:rPr>
          <w:rFonts w:ascii="Times New Roman" w:hAnsi="Times New Roman" w:cs="Times New Roman"/>
          <w:sz w:val="24"/>
          <w:szCs w:val="24"/>
        </w:rPr>
        <w:t xml:space="preserve">VILJOEN, Salomé. A relational theory of data governance. </w:t>
      </w:r>
      <w:r>
        <w:rPr>
          <w:rFonts w:ascii="Times New Roman" w:hAnsi="Times New Roman" w:cs="Times New Roman"/>
          <w:b/>
          <w:bCs/>
          <w:sz w:val="24"/>
          <w:szCs w:val="24"/>
        </w:rPr>
        <w:t xml:space="preserve">Yale Law Journal</w:t>
      </w:r>
      <w:r>
        <w:rPr>
          <w:rFonts w:ascii="Times New Roman" w:hAnsi="Times New Roman" w:cs="Times New Roman"/>
          <w:sz w:val="24"/>
          <w:szCs w:val="24"/>
        </w:rPr>
        <w:t xml:space="preserve">, New Haven, v. 131, n. 2, 2021.</w:t>
      </w:r>
    </w:p>
    <w:p>
      <w:pPr>
        <w:spacing w:before="0" w:after="240" w:line="240" w:lineRule="auto"/>
        <w:jc w:val="left"/>
      </w:pPr>
      <w:r>
        <w:rPr>
          <w:rFonts w:ascii="Times New Roman" w:hAnsi="Times New Roman" w:cs="Times New Roman"/>
          <w:sz w:val="24"/>
          <w:szCs w:val="24"/>
        </w:rPr>
        <w:t xml:space="preserve">ZAKRZEWSKI, Cat; LIMA, Cristiano; HARWELL, Drew. What the Jan. 6 probe found out about social media, but didn’t report. </w:t>
      </w:r>
      <w:r>
        <w:rPr>
          <w:rFonts w:ascii="Times New Roman" w:hAnsi="Times New Roman" w:cs="Times New Roman"/>
          <w:b/>
          <w:bCs/>
          <w:sz w:val="24"/>
          <w:szCs w:val="24"/>
        </w:rPr>
        <w:t xml:space="preserve">The Washington Post</w:t>
      </w:r>
      <w:r>
        <w:rPr>
          <w:rFonts w:ascii="Times New Roman" w:hAnsi="Times New Roman" w:cs="Times New Roman"/>
          <w:sz w:val="24"/>
          <w:szCs w:val="24"/>
        </w:rPr>
        <w:t xml:space="preserve">, Washington, DC, 17 jan. 2023.</w:t>
      </w:r>
    </w:p>
    <w:p>
      <w:pPr>
        <w:spacing w:before="0" w:after="240" w:line="240" w:lineRule="auto"/>
        <w:jc w:val="left"/>
      </w:pPr>
      <w:r>
        <w:rPr>
          <w:rFonts w:ascii="Times New Roman" w:hAnsi="Times New Roman" w:cs="Times New Roman"/>
          <w:sz w:val="24"/>
          <w:szCs w:val="24"/>
        </w:rPr>
        <w:t xml:space="preserve">ZANATTA, Rafael A. F. </w:t>
      </w:r>
      <w:r>
        <w:rPr>
          <w:rFonts w:ascii="Times New Roman" w:hAnsi="Times New Roman" w:cs="Times New Roman"/>
          <w:b/>
          <w:bCs/>
          <w:sz w:val="24"/>
          <w:szCs w:val="24"/>
        </w:rPr>
        <w:t xml:space="preserve">A proteção coletiva dos dados pessoais no Brasil</w:t>
      </w:r>
      <w:r>
        <w:rPr>
          <w:rFonts w:ascii="Times New Roman" w:hAnsi="Times New Roman" w:cs="Times New Roman"/>
          <w:sz w:val="24"/>
          <w:szCs w:val="24"/>
        </w:rPr>
        <w:t xml:space="preserve">: vetores de interpretação. 2023. Tese (Doutorado) – Instituto de Energia e Ambiente, Universidade de São Paulo, São Paulo, 2023.</w:t>
      </w:r>
    </w:p>
    <w:p>
      <w:pPr>
        <w:spacing w:before="0" w:after="240" w:line="240" w:lineRule="auto"/>
        <w:jc w:val="left"/>
      </w:pPr>
      <w:r>
        <w:rPr>
          <w:rFonts w:ascii="Times New Roman" w:hAnsi="Times New Roman" w:cs="Times New Roman"/>
          <w:sz w:val="24"/>
          <w:szCs w:val="24"/>
        </w:rPr>
        <w:t xml:space="preserve">ZUBOFF, Shoshana. </w:t>
      </w:r>
      <w:r>
        <w:rPr>
          <w:rFonts w:ascii="Times New Roman" w:hAnsi="Times New Roman" w:cs="Times New Roman"/>
          <w:b/>
          <w:bCs/>
          <w:sz w:val="24"/>
          <w:szCs w:val="24"/>
        </w:rPr>
        <w:t xml:space="preserve">A era do capitalismo de vigilância</w:t>
      </w:r>
      <w:r>
        <w:rPr>
          <w:rFonts w:ascii="Times New Roman" w:hAnsi="Times New Roman" w:cs="Times New Roman"/>
          <w:sz w:val="24"/>
          <w:szCs w:val="24"/>
        </w:rPr>
        <w:t xml:space="preserve">: a luta por um futuro humano na nova fronteira do poder. Tradução de George Schlesinger. Rio de Janeiro: Intrínseca, 2020.</w:t>
      </w:r>
    </w:p>
    <w:p>
      <w:pPr>
        <w:spacing w:before="0" w:after="240" w:line="240" w:lineRule="auto"/>
        <w:jc w:val="left"/>
      </w:pPr>
      <w:r>
        <w:rPr>
          <w:rFonts w:ascii="Times New Roman" w:hAnsi="Times New Roman" w:cs="Times New Roman"/>
          <w:sz w:val="24"/>
          <w:szCs w:val="24"/>
        </w:rPr>
        <w:t xml:space="preserve">ZUBOFF, Shoshana. The coup we are not talking about. </w:t>
      </w:r>
      <w:r>
        <w:rPr>
          <w:rFonts w:ascii="Times New Roman" w:hAnsi="Times New Roman" w:cs="Times New Roman"/>
          <w:b/>
          <w:bCs/>
          <w:sz w:val="24"/>
          <w:szCs w:val="24"/>
        </w:rPr>
        <w:t xml:space="preserve">The New York Times</w:t>
      </w:r>
      <w:r>
        <w:rPr>
          <w:rFonts w:ascii="Times New Roman" w:hAnsi="Times New Roman" w:cs="Times New Roman"/>
          <w:sz w:val="24"/>
          <w:szCs w:val="24"/>
        </w:rPr>
        <w:t xml:space="preserve">, New York, 29 jan. 2021.</w:t>
      </w:r>
    </w:p>
    <w:sectPr w:rsidR="00117C6C">
      <w:headerReference w:type="default" r:id="rId8"/>
      <w:headerReference w:type="first" r:id="rId9"/>
      <w:pgSz w:w="11906" w:h="16838"/>
      <w:pgMar w:top="1701" w:right="1134" w:bottom="1134" w:left="1701"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A3DA" w14:textId="77777777" w:rsidR="00897ACC" w:rsidRDefault="00897ACC">
      <w:pPr>
        <w:spacing w:after="0" w:line="240" w:lineRule="auto"/>
      </w:pPr>
      <w:r>
        <w:separator/>
      </w:r>
    </w:p>
  </w:endnote>
  <w:endnote w:type="continuationSeparator" w:id="0">
    <w:p w14:paraId="67473480" w14:textId="77777777" w:rsidR="00897ACC" w:rsidRDefault="00897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40D1" w14:textId="77777777" w:rsidR="00897ACC" w:rsidRDefault="00897ACC">
      <w:pPr>
        <w:rPr>
          <w:sz w:val="12"/>
        </w:rPr>
      </w:pPr>
      <w:r>
        <w:separator/>
      </w:r>
    </w:p>
  </w:footnote>
  <w:footnote w:type="continuationSeparator" w:id="0">
    <w:p w14:paraId="1D97F2E9" w14:textId="77777777" w:rsidR="00897ACC" w:rsidRDefault="00897ACC">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7539" w14:textId="77777777" w:rsidR="005416CC" w:rsidRDefault="005416CC">
    <w:pPr>
      <w:pStyle w:val="Cabealho"/>
      <w:tabs>
        <w:tab w:val="clear" w:pos="4252"/>
        <w:tab w:val="clear" w:pos="8504"/>
        <w:tab w:val="left" w:pos="53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D409" w14:textId="77777777" w:rsidR="00DA205C" w:rsidRDefault="00DA205C" w:rsidP="009A4309">
    <w:pPr>
      <w:pStyle w:val="Cabealho"/>
      <w:rPr>
        <w:noProof/>
      </w:rPr>
    </w:pPr>
  </w:p>
  <w:p w14:paraId="4EDD2AD2" w14:textId="77777777" w:rsidR="005416CC" w:rsidRDefault="005416CC" w:rsidP="00DA205C">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8A8E6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27E66EC6"/>
    <w:multiLevelType w:val="multilevel"/>
    <w:tmpl w:val="CF6C121A"/>
    <w:lvl w:ilvl="0">
      <w:start w:val="1"/>
      <w:numFmt w:val="decimal"/>
      <w:pStyle w:val="Ttulo1"/>
      <w:suff w:val="space"/>
      <w:lvlText w:val="%1"/>
      <w:lvlJc w:val="left"/>
      <w:pPr>
        <w:tabs>
          <w:tab w:val="num" w:pos="0"/>
        </w:tabs>
        <w:ind w:left="720" w:hanging="436"/>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7CB3283"/>
    <w:multiLevelType w:val="multilevel"/>
    <w:tmpl w:val="18C0D2BA"/>
    <w:lvl w:ilvl="0">
      <w:start w:val="1"/>
      <w:numFmt w:val="decimal"/>
      <w:pStyle w:val="Subttulo"/>
      <w:lvlText w:val="%1"/>
      <w:lvlJc w:val="left"/>
      <w:pPr>
        <w:tabs>
          <w:tab w:val="num" w:pos="0"/>
        </w:tabs>
        <w:ind w:left="720" w:hanging="360"/>
      </w:pPr>
    </w:lvl>
    <w:lvl w:ilvl="1">
      <w:start w:val="1"/>
      <w:numFmt w:val="decimal"/>
      <w:lvlText w:val="%2"/>
      <w:lvlJc w:val="left"/>
      <w:pPr>
        <w:tabs>
          <w:tab w:val="num" w:pos="0"/>
        </w:tabs>
        <w:ind w:left="0" w:firstLine="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5076D37"/>
    <w:multiLevelType w:val="multilevel"/>
    <w:tmpl w:val="2C6C99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93250A"/>
    <w:multiLevelType w:val="multilevel"/>
    <w:tmpl w:val="48A8B9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90C6BF1"/>
    <w:multiLevelType w:val="multilevel"/>
    <w:tmpl w:val="B838C854"/>
    <w:lvl w:ilvl="0">
      <w:start w:val="1"/>
      <w:numFmt w:val="decimal"/>
      <w:lvlText w:val="%1."/>
      <w:lvlJc w:val="left"/>
      <w:pPr>
        <w:tabs>
          <w:tab w:val="num" w:pos="0"/>
        </w:tabs>
        <w:ind w:left="360" w:hanging="360"/>
      </w:pPr>
    </w:lvl>
    <w:lvl w:ilvl="1">
      <w:start w:val="1"/>
      <w:numFmt w:val="decimal"/>
      <w:pStyle w:val="Subttulonvel2"/>
      <w:suff w:val="space"/>
      <w:lvlText w:val="%1.%2."/>
      <w:lvlJc w:val="left"/>
      <w:pPr>
        <w:tabs>
          <w:tab w:val="num" w:pos="0"/>
        </w:tabs>
        <w:ind w:left="792" w:hanging="79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801390727">
    <w:abstractNumId w:val="1"/>
  </w:num>
  <w:num w:numId="2" w16cid:durableId="1446542266">
    <w:abstractNumId w:val="2"/>
  </w:num>
  <w:num w:numId="3" w16cid:durableId="419647633">
    <w:abstractNumId w:val="5"/>
  </w:num>
  <w:num w:numId="4" w16cid:durableId="845829441">
    <w:abstractNumId w:val="4"/>
  </w:num>
  <w:num w:numId="5" w16cid:durableId="1424372587">
    <w:abstractNumId w:val="3"/>
  </w:num>
  <w:num w:numId="6" w16cid:durableId="135129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6CC"/>
    <w:rsid w:val="00117C6C"/>
    <w:rsid w:val="00197DEE"/>
    <w:rsid w:val="002B58E9"/>
    <w:rsid w:val="002C1ECE"/>
    <w:rsid w:val="00414C31"/>
    <w:rsid w:val="005416CC"/>
    <w:rsid w:val="00643D4A"/>
    <w:rsid w:val="006450F3"/>
    <w:rsid w:val="00674781"/>
    <w:rsid w:val="00694E17"/>
    <w:rsid w:val="007B0BE3"/>
    <w:rsid w:val="00897ACC"/>
    <w:rsid w:val="008A1083"/>
    <w:rsid w:val="008B61C4"/>
    <w:rsid w:val="009A4309"/>
    <w:rsid w:val="009F4087"/>
    <w:rsid w:val="00A076DF"/>
    <w:rsid w:val="00B64A9D"/>
    <w:rsid w:val="00BF1DFE"/>
    <w:rsid w:val="00C06DAF"/>
    <w:rsid w:val="00C55FA6"/>
    <w:rsid w:val="00C83461"/>
    <w:rsid w:val="00D30466"/>
    <w:rsid w:val="00DA205C"/>
    <w:rsid w:val="00F4213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980A"/>
  <w15:docId w15:val="{EC3692FF-ADDA-40DD-8D09-02AADDDB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Ttulo1">
    <w:name w:val="heading 1"/>
    <w:basedOn w:val="Normal"/>
    <w:next w:val="Normal"/>
    <w:link w:val="Ttulo1Char1"/>
    <w:qFormat/>
    <w:rsid w:val="001C71CC"/>
    <w:pPr>
      <w:keepNext/>
      <w:numPr>
        <w:numId w:val="1"/>
      </w:numPr>
      <w:spacing w:before="240" w:after="0" w:line="480" w:lineRule="auto"/>
      <w:outlineLvl w:val="0"/>
    </w:pPr>
    <w:rPr>
      <w:rFonts w:ascii="Times New Roman" w:eastAsia="Times New Roman" w:hAnsi="Times New Roman" w:cs="Arial"/>
      <w:b/>
      <w:bCs/>
      <w:kern w:val="2"/>
      <w:sz w:val="28"/>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2E406E"/>
  </w:style>
  <w:style w:type="character" w:customStyle="1" w:styleId="RodapChar">
    <w:name w:val="Rodapé Char"/>
    <w:basedOn w:val="Fontepargpadro"/>
    <w:link w:val="Rodap"/>
    <w:uiPriority w:val="99"/>
    <w:qFormat/>
    <w:rsid w:val="002E406E"/>
  </w:style>
  <w:style w:type="character" w:customStyle="1" w:styleId="TextodebaloChar">
    <w:name w:val="Texto de balão Char"/>
    <w:basedOn w:val="Fontepargpadro"/>
    <w:link w:val="Textodebalo"/>
    <w:uiPriority w:val="99"/>
    <w:semiHidden/>
    <w:qFormat/>
    <w:rsid w:val="00660B3E"/>
    <w:rPr>
      <w:rFonts w:ascii="Tahoma" w:hAnsi="Tahoma" w:cs="Tahoma"/>
      <w:sz w:val="16"/>
      <w:szCs w:val="16"/>
    </w:rPr>
  </w:style>
  <w:style w:type="character" w:customStyle="1" w:styleId="CorpodetextoChar">
    <w:name w:val="Corpo de texto Char"/>
    <w:basedOn w:val="Fontepargpadro"/>
    <w:link w:val="Corpodetexto"/>
    <w:qFormat/>
    <w:rsid w:val="002108FD"/>
    <w:rPr>
      <w:rFonts w:ascii="Times New Roman" w:eastAsia="Times New Roman" w:hAnsi="Times New Roman" w:cs="Times New Roman"/>
      <w:sz w:val="24"/>
      <w:szCs w:val="20"/>
      <w:lang w:val="x-none" w:eastAsia="x-none"/>
    </w:rPr>
  </w:style>
  <w:style w:type="character" w:styleId="Refdenotaderodap">
    <w:name w:val="footnote reference"/>
    <w:rPr>
      <w:vertAlign w:val="superscript"/>
    </w:rPr>
  </w:style>
  <w:style w:type="character" w:customStyle="1" w:styleId="FootnoteCharacters">
    <w:name w:val="Footnote Characters"/>
    <w:qFormat/>
    <w:rsid w:val="00122FAD"/>
    <w:rPr>
      <w:vertAlign w:val="superscript"/>
    </w:rPr>
  </w:style>
  <w:style w:type="character" w:customStyle="1" w:styleId="TextodenotaderodapChar">
    <w:name w:val="Texto de nota de rodapé Char"/>
    <w:basedOn w:val="Fontepargpadro"/>
    <w:semiHidden/>
    <w:qFormat/>
    <w:rsid w:val="00122FAD"/>
    <w:rPr>
      <w:sz w:val="20"/>
      <w:szCs w:val="20"/>
    </w:rPr>
  </w:style>
  <w:style w:type="character" w:customStyle="1" w:styleId="TextodenotaderodapChar1">
    <w:name w:val="Texto de nota de rodapé Char1"/>
    <w:link w:val="Textodenotaderodap"/>
    <w:qFormat/>
    <w:locked/>
    <w:rsid w:val="00122FAD"/>
    <w:rPr>
      <w:rFonts w:ascii="Arial" w:eastAsia="Times New Roman" w:hAnsi="Arial" w:cs="Comic Sans MS"/>
      <w:sz w:val="20"/>
      <w:szCs w:val="24"/>
      <w:lang w:eastAsia="pt-BR"/>
    </w:rPr>
  </w:style>
  <w:style w:type="character" w:customStyle="1" w:styleId="TextodecomentrioChar">
    <w:name w:val="Texto de comentário Char"/>
    <w:basedOn w:val="Fontepargpadro"/>
    <w:uiPriority w:val="99"/>
    <w:semiHidden/>
    <w:qFormat/>
    <w:rsid w:val="00122FAD"/>
    <w:rPr>
      <w:sz w:val="20"/>
      <w:szCs w:val="20"/>
    </w:rPr>
  </w:style>
  <w:style w:type="character" w:customStyle="1" w:styleId="TextodecomentrioChar1">
    <w:name w:val="Texto de comentário Char1"/>
    <w:link w:val="Textodecomentrio"/>
    <w:uiPriority w:val="99"/>
    <w:semiHidden/>
    <w:qFormat/>
    <w:locked/>
    <w:rsid w:val="00122FAD"/>
    <w:rPr>
      <w:rFonts w:ascii="Arial" w:eastAsia="Calibri" w:hAnsi="Arial" w:cs="Comic Sans MS"/>
      <w:sz w:val="20"/>
      <w:szCs w:val="24"/>
    </w:rPr>
  </w:style>
  <w:style w:type="character" w:customStyle="1" w:styleId="Ttulo1Char">
    <w:name w:val="Título 1 Char"/>
    <w:basedOn w:val="Fontepargpadro"/>
    <w:uiPriority w:val="9"/>
    <w:qFormat/>
    <w:rsid w:val="00122FAD"/>
    <w:rPr>
      <w:rFonts w:asciiTheme="majorHAnsi" w:eastAsiaTheme="majorEastAsia" w:hAnsiTheme="majorHAnsi" w:cstheme="majorBidi"/>
      <w:b/>
      <w:bCs/>
      <w:color w:val="365F91" w:themeColor="accent1" w:themeShade="BF"/>
      <w:sz w:val="28"/>
      <w:szCs w:val="28"/>
    </w:rPr>
  </w:style>
  <w:style w:type="character" w:customStyle="1" w:styleId="Ttulo1Char1">
    <w:name w:val="Título 1 Char1"/>
    <w:link w:val="Ttulo1"/>
    <w:qFormat/>
    <w:rsid w:val="001C71CC"/>
    <w:rPr>
      <w:rFonts w:ascii="Times New Roman" w:eastAsia="Times New Roman" w:hAnsi="Times New Roman" w:cs="Arial"/>
      <w:b/>
      <w:bCs/>
      <w:kern w:val="2"/>
      <w:sz w:val="28"/>
      <w:szCs w:val="32"/>
      <w:lang w:eastAsia="pt-BR"/>
    </w:rPr>
  </w:style>
  <w:style w:type="character" w:styleId="Hyperlink">
    <w:name w:val="Hyperlink"/>
    <w:basedOn w:val="Fontepargpadro"/>
    <w:uiPriority w:val="99"/>
    <w:unhideWhenUsed/>
    <w:rsid w:val="001C6959"/>
    <w:rPr>
      <w:color w:val="0000FF" w:themeColor="hyperlink"/>
      <w:u w:val="single"/>
    </w:rPr>
  </w:style>
  <w:style w:type="character" w:customStyle="1" w:styleId="SubttuloChar">
    <w:name w:val="Subtítulo Char"/>
    <w:basedOn w:val="Fontepargpadro"/>
    <w:link w:val="Subttulo"/>
    <w:uiPriority w:val="11"/>
    <w:qFormat/>
    <w:rsid w:val="002F0134"/>
    <w:rPr>
      <w:rFonts w:ascii="Times New Roman" w:eastAsiaTheme="majorEastAsia" w:hAnsi="Times New Roman" w:cstheme="majorBidi"/>
      <w:b/>
      <w:bCs/>
      <w:iCs/>
      <w:spacing w:val="15"/>
      <w:kern w:val="2"/>
      <w:sz w:val="24"/>
      <w:szCs w:val="24"/>
      <w:lang w:eastAsia="pt-BR"/>
    </w:rPr>
  </w:style>
  <w:style w:type="character" w:customStyle="1" w:styleId="Caracteresdenotaderodap">
    <w:name w:val="Caracteres de nota de rodapé"/>
    <w:qFormat/>
  </w:style>
  <w:style w:type="character" w:styleId="Refdenotadefim">
    <w:name w:val="endnote reference"/>
    <w:rPr>
      <w:vertAlign w:val="superscript"/>
    </w:rPr>
  </w:style>
  <w:style w:type="character" w:customStyle="1" w:styleId="EndnoteCharacters">
    <w:name w:val="Endnote Characters"/>
    <w:qFormat/>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rsid w:val="002108FD"/>
    <w:pPr>
      <w:spacing w:after="0" w:line="240" w:lineRule="auto"/>
    </w:pPr>
    <w:rPr>
      <w:rFonts w:ascii="Times New Roman" w:eastAsia="Times New Roman" w:hAnsi="Times New Roman" w:cs="Times New Roman"/>
      <w:sz w:val="24"/>
      <w:szCs w:val="20"/>
      <w:lang w:val="x-none" w:eastAsia="x-none"/>
    </w:r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A11487"/>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2E406E"/>
    <w:pPr>
      <w:tabs>
        <w:tab w:val="center" w:pos="4252"/>
        <w:tab w:val="right" w:pos="8504"/>
      </w:tabs>
      <w:spacing w:after="0" w:line="240" w:lineRule="auto"/>
    </w:pPr>
  </w:style>
  <w:style w:type="paragraph" w:styleId="Rodap">
    <w:name w:val="footer"/>
    <w:basedOn w:val="Normal"/>
    <w:link w:val="RodapChar"/>
    <w:uiPriority w:val="99"/>
    <w:unhideWhenUsed/>
    <w:rsid w:val="002E406E"/>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60B3E"/>
    <w:pPr>
      <w:spacing w:after="0" w:line="240" w:lineRule="auto"/>
    </w:pPr>
    <w:rPr>
      <w:rFonts w:ascii="Tahoma" w:hAnsi="Tahoma" w:cs="Tahoma"/>
      <w:sz w:val="16"/>
      <w:szCs w:val="16"/>
    </w:rPr>
  </w:style>
  <w:style w:type="paragraph" w:styleId="Textodenotaderodap">
    <w:name w:val="footnote text"/>
    <w:basedOn w:val="Normal"/>
    <w:link w:val="TextodenotaderodapChar1"/>
    <w:qFormat/>
    <w:rsid w:val="00122FAD"/>
    <w:pPr>
      <w:spacing w:after="0" w:line="240" w:lineRule="auto"/>
      <w:jc w:val="both"/>
    </w:pPr>
    <w:rPr>
      <w:rFonts w:ascii="Arial" w:eastAsia="Times New Roman" w:hAnsi="Arial" w:cs="Comic Sans MS"/>
      <w:sz w:val="20"/>
      <w:szCs w:val="24"/>
      <w:lang w:eastAsia="pt-BR"/>
    </w:rPr>
  </w:style>
  <w:style w:type="paragraph" w:styleId="Textodecomentrio">
    <w:name w:val="annotation text"/>
    <w:basedOn w:val="Normal"/>
    <w:link w:val="TextodecomentrioChar1"/>
    <w:uiPriority w:val="99"/>
    <w:semiHidden/>
    <w:qFormat/>
    <w:rsid w:val="00122FAD"/>
    <w:pPr>
      <w:spacing w:line="360" w:lineRule="auto"/>
      <w:ind w:firstLine="709"/>
      <w:jc w:val="both"/>
    </w:pPr>
    <w:rPr>
      <w:rFonts w:ascii="Arial" w:eastAsia="Calibri" w:hAnsi="Arial" w:cs="Comic Sans MS"/>
      <w:sz w:val="20"/>
      <w:szCs w:val="24"/>
    </w:rPr>
  </w:style>
  <w:style w:type="paragraph" w:customStyle="1" w:styleId="TtuloCentralizadoResumo">
    <w:name w:val="Título Centralizado Resumo"/>
    <w:basedOn w:val="Normal"/>
    <w:qFormat/>
    <w:rsid w:val="005F6906"/>
    <w:pPr>
      <w:spacing w:before="240" w:after="0" w:line="480" w:lineRule="auto"/>
      <w:jc w:val="center"/>
    </w:pPr>
    <w:rPr>
      <w:rFonts w:ascii="Times New Roman" w:hAnsi="Times New Roman" w:cs="Times New Roman"/>
      <w:b/>
      <w:sz w:val="28"/>
    </w:rPr>
  </w:style>
  <w:style w:type="paragraph" w:customStyle="1" w:styleId="Texto">
    <w:name w:val="Texto"/>
    <w:basedOn w:val="Normal"/>
    <w:qFormat/>
    <w:rsid w:val="005F6906"/>
    <w:pPr>
      <w:spacing w:after="0" w:line="360" w:lineRule="auto"/>
      <w:ind w:firstLine="709"/>
      <w:jc w:val="both"/>
    </w:pPr>
    <w:rPr>
      <w:rFonts w:ascii="Times New Roman" w:hAnsi="Times New Roman" w:cs="Times New Roman"/>
      <w:sz w:val="24"/>
      <w:szCs w:val="24"/>
    </w:rPr>
  </w:style>
  <w:style w:type="paragraph" w:customStyle="1" w:styleId="Referncias">
    <w:name w:val="Referências"/>
    <w:basedOn w:val="Texto"/>
    <w:qFormat/>
    <w:rsid w:val="00E54342"/>
    <w:pPr>
      <w:spacing w:after="240" w:line="240" w:lineRule="auto"/>
      <w:ind w:firstLine="0"/>
      <w:jc w:val="left"/>
    </w:pPr>
  </w:style>
  <w:style w:type="paragraph" w:styleId="Subttulo">
    <w:name w:val="Subtitle"/>
    <w:basedOn w:val="Ttulo1"/>
    <w:next w:val="Texto"/>
    <w:link w:val="SubttuloChar"/>
    <w:uiPriority w:val="11"/>
    <w:qFormat/>
    <w:rsid w:val="002F0134"/>
    <w:pPr>
      <w:numPr>
        <w:numId w:val="2"/>
      </w:numPr>
    </w:pPr>
    <w:rPr>
      <w:rFonts w:eastAsiaTheme="majorEastAsia" w:cstheme="majorBidi"/>
      <w:iCs/>
      <w:spacing w:val="15"/>
      <w:sz w:val="24"/>
      <w:szCs w:val="24"/>
    </w:rPr>
  </w:style>
  <w:style w:type="paragraph" w:customStyle="1" w:styleId="Subttulonvel2">
    <w:name w:val="Subtítulo nível 2"/>
    <w:basedOn w:val="Ttulo1"/>
    <w:next w:val="Texto"/>
    <w:qFormat/>
    <w:rsid w:val="001C71CC"/>
    <w:pPr>
      <w:numPr>
        <w:ilvl w:val="1"/>
        <w:numId w:val="3"/>
      </w:numPr>
      <w:outlineLvl w:val="1"/>
    </w:pPr>
    <w:rPr>
      <w:sz w:val="24"/>
    </w:rPr>
  </w:style>
  <w:style w:type="paragraph" w:styleId="NormalWeb">
    <w:name w:val="Normal (Web)"/>
    <w:basedOn w:val="Normal"/>
    <w:uiPriority w:val="99"/>
    <w:unhideWhenUsed/>
    <w:qFormat/>
    <w:rsid w:val="00D87570"/>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sid w:val="001B3FD4"/>
  </w:style>
  <w:style w:type="table" w:customStyle="1" w:styleId="ListaClara1">
    <w:name w:val="Lista Clara1"/>
    <w:basedOn w:val="Tabelanormal"/>
    <w:uiPriority w:val="61"/>
    <w:rsid w:val="001B3FD4"/>
    <w:pPr>
      <w:jc w:val="both"/>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MenoPendente1">
    <w:name w:val="Menção Pendente1"/>
    <w:basedOn w:val="Fontepargpadro"/>
    <w:uiPriority w:val="99"/>
    <w:semiHidden/>
    <w:unhideWhenUsed/>
    <w:rsid w:val="00C83461"/>
    <w:rPr>
      <w:color w:val="605E5C"/>
      <w:shd w:val="clear" w:color="auto" w:fill="E1DFDD"/>
    </w:rPr>
  </w:style>
  <w:style w:type="paragraph" w:styleId="Commarcadores">
    <w:name w:val="List Bullet"/>
    <w:basedOn w:val="Normal"/>
    <w:uiPriority w:val="99"/>
    <w:unhideWhenUsed/>
    <w:rsid w:val="00BF1DF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1106">
      <w:bodyDiv w:val="1"/>
      <w:marLeft w:val="0"/>
      <w:marRight w:val="0"/>
      <w:marTop w:val="0"/>
      <w:marBottom w:val="0"/>
      <w:divBdr>
        <w:top w:val="none" w:sz="0" w:space="0" w:color="auto"/>
        <w:left w:val="none" w:sz="0" w:space="0" w:color="auto"/>
        <w:bottom w:val="none" w:sz="0" w:space="0" w:color="auto"/>
        <w:right w:val="none" w:sz="0" w:space="0" w:color="auto"/>
      </w:divBdr>
    </w:div>
    <w:div w:id="1098520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Fig1" Type="http://schemas.openxmlformats.org/officeDocument/2006/relationships/image" Target="media/figura1_rIdFig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743BD-A2F8-4F6A-9C5E-C307C232D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50</Pages>
  <Words>21672</Words>
  <Characters>117029</Characters>
  <Application>Microsoft Office Word</Application>
  <DocSecurity>0</DocSecurity>
  <Lines>975</Lines>
  <Paragraphs>276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Ariádne Joseane Félix Quintela</dc:creator>
  <dc:description/>
  <cp:lastModifiedBy>gustavo reis</cp:lastModifiedBy>
  <cp:revision>7</cp:revision>
  <cp:lastPrinted>2023-09-25T22:16:00Z</cp:lastPrinted>
  <dcterms:created xsi:type="dcterms:W3CDTF">2023-11-29T23:53:00Z</dcterms:created>
  <dcterms:modified xsi:type="dcterms:W3CDTF">2026-10-02T04:20:00Z</dcterms:modified>
  <dc:language>pt-BR</dc:language>
</cp:coreProperties>
</file>