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ascii="Bookman Old Style" w:hAnsi="Bookman Old Style" w:cs="Bookman Old Style"/>
          <w:b/>
          <w:color w:val="000000"/>
          <w:sz w:val="22"/>
          <w:szCs w:val="22"/>
        </w:rPr>
      </w:pPr>
      <w:r>
        <w:rPr>
          <w:rFonts w:cs="Bookman Old Style" w:ascii="Bookman Old Style" w:hAnsi="Bookman Old Style"/>
          <w:b/>
          <w:color w:val="000000"/>
          <w:sz w:val="22"/>
          <w:szCs w:val="22"/>
        </w:rPr>
        <w:t>TERMO ADITIVO AO CONTRATO DE TRABALHO</w:t>
      </w:r>
    </w:p>
    <w:p>
      <w:pPr>
        <w:pStyle w:val="Heading1"/>
        <w:spacing w:before="0" w:after="0"/>
        <w:ind w:hanging="0" w:start="0"/>
        <w:contextualSpacing/>
        <w:jc w:val="center"/>
        <w:rPr>
          <w:rFonts w:ascii="Bookman Old Style" w:hAnsi="Bookman Old Style" w:cs="Arial"/>
          <w:b/>
          <w:bCs/>
          <w:color w:val="000000"/>
          <w:sz w:val="22"/>
          <w:szCs w:val="22"/>
        </w:rPr>
      </w:pPr>
      <w:r>
        <w:rPr>
          <w:rFonts w:cs="Arial" w:ascii="Bookman Old Style" w:hAnsi="Bookman Old Style"/>
          <w:b/>
          <w:bCs/>
          <w:color w:val="000000"/>
          <w:sz w:val="22"/>
          <w:szCs w:val="22"/>
          <w:u w:val="single"/>
        </w:rPr>
        <w:t>CONFIDENCIALIDADE / LGPD / AFASTAMENTO / GRAVAÇÃO</w:t>
      </w:r>
    </w:p>
    <w:p>
      <w:pPr>
        <w:pStyle w:val="Normal"/>
        <w:spacing w:before="0" w:after="0"/>
        <w:contextualSpacing/>
        <w:jc w:val="center"/>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autoSpaceDE w:val="false"/>
        <w:spacing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tbl>
      <w:tblPr>
        <w:tblW w:w="9288" w:type="dxa"/>
        <w:jc w:val="center"/>
        <w:tblInd w:w="0" w:type="dxa"/>
        <w:tblLayout w:type="fixed"/>
        <w:tblCellMar>
          <w:top w:w="0" w:type="dxa"/>
          <w:start w:w="108" w:type="dxa"/>
          <w:bottom w:w="0" w:type="dxa"/>
          <w:end w:w="108" w:type="dxa"/>
        </w:tblCellMar>
      </w:tblPr>
      <w:tblGrid>
        <w:gridCol w:w="2734"/>
        <w:gridCol w:w="6554"/>
      </w:tblGrid>
      <w:tr>
        <w:trPr/>
        <w:tc>
          <w:tcPr>
            <w:tcW w:w="9288" w:type="dxa"/>
            <w:gridSpan w:val="2"/>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QUADRO SINTÉTICO</w:t>
            </w:r>
          </w:p>
        </w:tc>
      </w:tr>
      <w:tr>
        <w:trPr/>
        <w:tc>
          <w:tcPr>
            <w:tcW w:w="9288"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doravante denominado simplesmente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9288"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color w:val="000000"/>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neste ato denominada simplesmente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c>
          <w:tcPr>
            <w:tcW w:w="6554" w:type="dxa"/>
            <w:tcBorders>
              <w:top w:val="dotted" w:sz="4" w:space="0" w:color="000000"/>
              <w:start w:val="dotted" w:sz="4" w:space="0" w:color="000000"/>
              <w:bottom w:val="dotted" w:sz="4" w:space="0" w:color="000000"/>
              <w:end w:val="dotted" w:sz="4" w:space="0" w:color="000000"/>
            </w:tcBorders>
          </w:tcPr>
          <w:p>
            <w:pPr>
              <w:pStyle w:val="Normal"/>
              <w:snapToGrid w:val="false"/>
              <w:spacing w:before="0" w:after="0"/>
              <w:contextualSpacing/>
              <w:jc w:val="both"/>
              <w:rPr>
                <w:rFonts w:ascii="Bookman Old Style" w:hAnsi="Bookman Old Style" w:cs="Bookman Old Style"/>
                <w:b/>
                <w:bCs/>
                <w:color w:val="FF0000"/>
                <w:sz w:val="22"/>
                <w:szCs w:val="22"/>
                <w:highlight w:val="yellow"/>
              </w:rPr>
            </w:pPr>
            <w:r>
              <w:rPr>
                <w:rFonts w:cs="Bookman Old Style" w:ascii="Bookman Old Style" w:hAnsi="Bookman Old Style"/>
                <w:b/>
                <w:bCs/>
                <w:color w:val="FF0000"/>
                <w:sz w:val="22"/>
                <w:szCs w:val="22"/>
                <w:highlight w:val="yellow"/>
              </w:rPr>
            </w:r>
          </w:p>
        </w:tc>
      </w:tr>
      <w:tr>
        <w:trPr/>
        <w:tc>
          <w:tcPr>
            <w:tcW w:w="9288"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color w:val="000000"/>
                <w:sz w:val="22"/>
                <w:szCs w:val="22"/>
                <w:highlight w:val="yellow"/>
              </w:rPr>
            </w:pPr>
            <w:r>
              <w:rPr>
                <w:rFonts w:cs="Bookman Old Style" w:ascii="Bookman Old Style" w:hAnsi="Bookman Old Style"/>
                <w:color w:val="000000"/>
                <w:sz w:val="22"/>
                <w:szCs w:val="22"/>
                <w:highlight w:val="yellow"/>
              </w:rPr>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bl>
    <w:p>
      <w:pPr>
        <w:pStyle w:val="Normal"/>
        <w:autoSpaceDE w:val="false"/>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pPr>
      <w:r>
        <w:rPr>
          <w:rFonts w:cs="Bookman Old Style" w:ascii="Bookman Old Style" w:hAnsi="Bookman Old Style"/>
          <w:color w:val="000000"/>
          <w:sz w:val="22"/>
          <w:szCs w:val="22"/>
        </w:rPr>
        <w:t xml:space="preserve">As Partes acima qualificadas firmam o presente </w:t>
      </w:r>
      <w:r>
        <w:rPr>
          <w:rFonts w:cs="Bookman Old Style" w:ascii="Bookman Old Style" w:hAnsi="Bookman Old Style"/>
          <w:b/>
          <w:color w:val="000000"/>
          <w:sz w:val="22"/>
          <w:szCs w:val="22"/>
        </w:rPr>
        <w:t xml:space="preserve">TERMO ADITIVO  </w:t>
      </w:r>
      <w:r>
        <w:rPr>
          <w:rFonts w:cs="Bookman Old Style" w:ascii="Bookman Old Style" w:hAnsi="Bookman Old Style"/>
          <w:bCs/>
          <w:color w:val="000000"/>
          <w:sz w:val="22"/>
          <w:szCs w:val="22"/>
        </w:rPr>
        <w:t xml:space="preserve">ao </w:t>
      </w:r>
      <w:r>
        <w:rPr>
          <w:rFonts w:cs="Bookman Old Style" w:ascii="Bookman Old Style" w:hAnsi="Bookman Old Style"/>
          <w:color w:val="000000"/>
          <w:sz w:val="22"/>
          <w:szCs w:val="22"/>
        </w:rPr>
        <w:t xml:space="preserve">contrato individual de trabalho, que se </w:t>
      </w:r>
      <w:r>
        <w:rPr>
          <w:rFonts w:cs="Arial" w:ascii="Bookman Old Style" w:hAnsi="Bookman Old Style"/>
          <w:color w:val="000000"/>
          <w:sz w:val="22"/>
          <w:szCs w:val="22"/>
        </w:rPr>
        <w:t>regerá pelas normas da legislação trabalhista, previdenciária e fiscal, aplicáveis ao segmento, sob as condições expressas nas cláusulas abaixo:</w:t>
      </w:r>
    </w:p>
    <w:p>
      <w:pPr>
        <w:pStyle w:val="Normal"/>
        <w:autoSpaceDE w:val="false"/>
        <w:spacing w:lineRule="auto" w:line="360"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pPr>
      <w:commentRangeStart w:id="0"/>
      <w:r>
        <w:rPr>
          <w:rFonts w:cs="Bookman Old Style" w:ascii="Bookman Old Style" w:hAnsi="Bookman Old Style"/>
          <w:bCs/>
          <w:color w:val="000000"/>
          <w:sz w:val="22"/>
          <w:szCs w:val="22"/>
        </w:rPr>
        <w:t>1</w:t>
      </w:r>
      <w:r>
        <w:rPr>
          <w:rFonts w:cs="Bookman Old Style" w:ascii="Bookman Old Style" w:hAnsi="Bookman Old Style"/>
          <w:b/>
          <w:color w:val="000000"/>
          <w:sz w:val="22"/>
          <w:szCs w:val="22"/>
        </w:rPr>
        <w:t>)</w:t>
      </w:r>
      <w:r>
        <w:rPr>
          <w:rFonts w:cs="Bookman Old Style" w:ascii="Bookman Old Style" w:hAnsi="Bookman Old Style"/>
          <w:color w:val="000000"/>
          <w:sz w:val="22"/>
          <w:szCs w:val="22"/>
        </w:rPr>
        <w:t xml:space="preserve"> </w:t>
      </w:r>
      <w:r>
        <w:rPr>
          <w:rStyle w:val="Refdecomentrio"/>
          <w:vanish w:val="false"/>
        </w:rPr>
      </w:r>
      <w:commentRangeEnd w:id="0"/>
      <w:r>
        <w:commentReference w:id="0"/>
      </w:r>
      <w:r>
        <w:rPr>
          <w:rFonts w:cs="Bookman Old Style" w:ascii="Bookman Old Style" w:hAnsi="Bookman Old Style"/>
          <w:color w:val="000000"/>
          <w:sz w:val="22"/>
          <w:szCs w:val="22"/>
        </w:rPr>
        <w:t xml:space="preserve">Em vista da função exercida, o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 caso esta última necessite, inclusive utilizando-se de roupa que possua a marca, logomarca, nome fantasia ou empresarial de clientes desta última.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eastAsia="Bookman Old Style" w:cs="Bookman Old Style" w:ascii="Bookman Old Style" w:hAnsi="Bookman Old Style"/>
          <w:sz w:val="22"/>
          <w:szCs w:val="22"/>
        </w:rPr>
        <w:t xml:space="preserve"> </w:t>
      </w:r>
      <w:r>
        <w:rPr>
          <w:rFonts w:cs="Bookman Old Style" w:ascii="Bookman Old Style" w:hAnsi="Bookman Old Style"/>
          <w:color w:val="000000"/>
          <w:sz w:val="22"/>
          <w:szCs w:val="22"/>
        </w:rPr>
        <w:t xml:space="preserve">Caso o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pretenda que sua imagem não fique vinculada ou seja divulgada em informativos ou outros meios de comunicação, poderá manifestar tal oposição por escrito, desde que antes da obtenção da imagem por meio fotográfico ou filmagem.</w:t>
      </w:r>
    </w:p>
    <w:p>
      <w:pPr>
        <w:pStyle w:val="Normal"/>
        <w:spacing w:before="0" w:after="0"/>
        <w:ind w:start="851" w:end="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O(A) empregado(a), no uso das suas atribuições, está ciente que a utilização da sua voz configura-se como uma ferramenta essencial de trabalho.</w:t>
      </w:r>
    </w:p>
    <w:p>
      <w:pPr>
        <w:pStyle w:val="PargrafodaLista"/>
        <w:ind w:start="851" w:end="0"/>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pPr>
        <w:pStyle w:val="PargrafodaLista"/>
        <w:ind w:start="851" w:end="0"/>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pPr>
        <w:pStyle w:val="PargrafodaLista"/>
        <w:ind w:start="851" w:end="0"/>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Arial" w:ascii="Bookman Old Style" w:hAnsi="Bookman Old Style"/>
          <w:sz w:val="22"/>
          <w:szCs w:val="22"/>
        </w:rPr>
        <w:t xml:space="preserve">Caso o empregado opte pela mudança da autorização prevista neste instrumento, poderá manifestar tal oposição por escrito, desde que antes da obtenção da gravação. </w:t>
      </w:r>
    </w:p>
    <w:p>
      <w:pPr>
        <w:pStyle w:val="PargrafodaLista"/>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1"/>
          <w:numId w:val="6"/>
        </w:numPr>
        <w:spacing w:before="0" w:after="0"/>
        <w:ind w:hanging="360" w:start="851" w:end="0"/>
        <w:contextualSpacing/>
        <w:jc w:val="both"/>
        <w:rPr>
          <w:rFonts w:ascii="Bookman Old Style" w:hAnsi="Bookman Old Style" w:cs="Bookman Old Style"/>
          <w:b/>
          <w:bCs/>
          <w:color w:val="000000"/>
          <w:sz w:val="22"/>
          <w:szCs w:val="22"/>
        </w:rPr>
      </w:pPr>
      <w:r>
        <w:rPr>
          <w:rFonts w:cs="Bookman Old Style" w:ascii="Bookman Old Style" w:hAnsi="Bookman Old Style"/>
          <w:color w:val="000000"/>
          <w:sz w:val="22"/>
          <w:szCs w:val="22"/>
        </w:rPr>
        <w:t>Não é aplicável o item 1.1 em relação as gravações de aulas,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p>
    <w:p>
      <w:pPr>
        <w:pStyle w:val="Normal"/>
        <w:spacing w:before="0" w:after="0"/>
        <w:ind w:start="1560" w:end="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t>LGPD – AUTORIZAÇÃO</w:t>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spacing w:before="0" w:after="0"/>
        <w:contextualSpacing/>
        <w:jc w:val="both"/>
        <w:rPr>
          <w:rFonts w:ascii="Bookman Old Style" w:hAnsi="Bookman Old Style" w:cs="Arial"/>
          <w:sz w:val="22"/>
          <w:szCs w:val="22"/>
        </w:rPr>
      </w:pPr>
      <w:r>
        <w:rPr>
          <w:rFonts w:cs="Bookman Old Style" w:ascii="Bookman Old Style" w:hAnsi="Bookman Old Style"/>
          <w:bCs/>
          <w:color w:val="000000"/>
          <w:sz w:val="22"/>
          <w:szCs w:val="22"/>
        </w:rPr>
        <w:t>2.1</w:t>
      </w:r>
      <w:r>
        <w:rPr>
          <w:rFonts w:cs="Bookman Old Style" w:ascii="Bookman Old Style" w:hAnsi="Bookman Old Style"/>
          <w:b/>
          <w:color w:val="000000"/>
          <w:sz w:val="22"/>
          <w:szCs w:val="22"/>
        </w:rPr>
        <w:t xml:space="preserve"> </w:t>
      </w:r>
      <w:r>
        <w:rPr>
          <w:rFonts w:cs="Bookman Old Style" w:ascii="Bookman Old Style" w:hAnsi="Bookman Old Style"/>
          <w:bCs/>
          <w:color w:val="000000"/>
          <w:sz w:val="22"/>
          <w:szCs w:val="22"/>
        </w:rPr>
        <w:t>O Empregado a</w:t>
      </w:r>
      <w:r>
        <w:rPr>
          <w:rFonts w:cs="Arial" w:ascii="Bookman Old Style" w:hAnsi="Bookman Old Style"/>
          <w:sz w:val="22"/>
          <w:szCs w:val="22"/>
        </w:rPr>
        <w:t xml:space="preserve">utoriza que a Empregadora forneça para terceiros os dados e documentos abaixo, realizando todas as operações de tratamento necessárias, não se limitando, mas para fins de: </w:t>
      </w:r>
      <w:r>
        <w:rPr>
          <w:rFonts w:cs="Arial" w:ascii="Bookman Old Style" w:hAnsi="Bookman Old Style"/>
          <w:b/>
          <w:bCs/>
          <w:sz w:val="22"/>
          <w:szCs w:val="22"/>
        </w:rPr>
        <w:t>a)</w:t>
      </w:r>
      <w:r>
        <w:rPr>
          <w:rFonts w:cs="Arial" w:ascii="Bookman Old Style" w:hAnsi="Bookman Old Style"/>
          <w:sz w:val="22"/>
          <w:szCs w:val="22"/>
        </w:rPr>
        <w:t xml:space="preserve"> Armazenamento de todos os seus dados, inclusive os sensíveis, no Banco de Dados da Empregadora; </w:t>
      </w:r>
      <w:r>
        <w:rPr>
          <w:rFonts w:cs="Arial" w:ascii="Bookman Old Style" w:hAnsi="Bookman Old Style"/>
          <w:b/>
          <w:bCs/>
          <w:sz w:val="22"/>
          <w:szCs w:val="22"/>
        </w:rPr>
        <w:t>b)</w:t>
      </w:r>
      <w:r>
        <w:rPr>
          <w:rFonts w:cs="Arial" w:ascii="Bookman Old Style" w:hAnsi="Bookman Old Style"/>
          <w:sz w:val="22"/>
          <w:szCs w:val="22"/>
        </w:rPr>
        <w:t xml:space="preserve">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físicas ou jurídicas clientes, bem como para todas as finalidades necessárias para a execução das atividades e objeto social da Empregadora e executadas pelo Empregado; </w:t>
      </w:r>
      <w:r>
        <w:rPr>
          <w:rFonts w:cs="Arial" w:ascii="Bookman Old Style" w:hAnsi="Bookman Old Style"/>
          <w:b/>
          <w:bCs/>
          <w:sz w:val="22"/>
          <w:szCs w:val="22"/>
        </w:rPr>
        <w:t>c)</w:t>
      </w:r>
      <w:r>
        <w:rPr>
          <w:rFonts w:cs="Arial" w:ascii="Bookman Old Style" w:hAnsi="Bookman Old Style"/>
          <w:sz w:val="22"/>
          <w:szCs w:val="22"/>
        </w:rPr>
        <w:t xml:space="preserve"> Cadastro de entrada em estabelecimentos comerciais, empresariais, particulares ou públicos que requerem dados e informações para fins de controle (sejam de clientes, postos/locais de trabalho e estabelecimentos da empregadora e de terceiros). </w:t>
      </w:r>
      <w:r>
        <w:rPr>
          <w:rFonts w:cs="Bookman Old Style" w:ascii="Bookman Old Style" w:hAnsi="Bookman Old Style"/>
          <w:bCs/>
          <w:color w:val="000000"/>
          <w:sz w:val="22"/>
          <w:szCs w:val="22"/>
        </w:rPr>
        <w:t xml:space="preserve">Assim, presta-se a presente declaração para o cumprimento de todas as exigências existentes na Lei nº 13.709/2018. </w:t>
      </w:r>
      <w:r>
        <w:rPr>
          <w:rFonts w:cs="Bookman Old Style" w:ascii="Bookman Old Style" w:hAnsi="Bookman Old Style"/>
          <w:color w:val="000000"/>
          <w:sz w:val="22"/>
          <w:szCs w:val="22"/>
        </w:rPr>
        <w:t xml:space="preserve">Autoriza o fornecimento do rol abaixo, além de outros dados sensíveis necessários, tais </w:t>
      </w:r>
      <w:commentRangeStart w:id="1"/>
      <w:r>
        <w:rPr>
          <w:rFonts w:cs="Bookman Old Style" w:ascii="Bookman Old Style" w:hAnsi="Bookman Old Style"/>
          <w:color w:val="000000"/>
          <w:sz w:val="22"/>
          <w:szCs w:val="22"/>
        </w:rPr>
        <w:t>como</w:t>
      </w:r>
      <w:r>
        <w:rPr>
          <w:rStyle w:val="Refdecomentrio"/>
          <w:vanish w:val="false"/>
        </w:rPr>
      </w:r>
      <w:commentRangeEnd w:id="1"/>
      <w:r>
        <w:commentReference w:id="1"/>
      </w:r>
      <w:r>
        <w:rPr>
          <w:rFonts w:cs="Bookman Old Style" w:ascii="Bookman Old Style" w:hAnsi="Bookman Old Style"/>
          <w:color w:val="000000"/>
          <w:sz w:val="22"/>
          <w:szCs w:val="22"/>
        </w:rPr>
        <w:t>:</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8"/>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Qualificação pessoal e endereço;</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cópias de documentos pessoais;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cópias de holerites;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cópias de informações remuneratórias, bem como a respeito de seus dependentes e dados a eles vinculados;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Fotografia/imagem;</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biométricos;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Exames Ocupacionais e resultados;</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Documentos, exames, laudos e atestados médicos, com seus respectivos resultados, de toda ordem;</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Dados e informações exigidas pela Lei Complementar 131 e outras Leis, Decretos e/ou atos normativos vinculados a Transparência Fiscal;</w:t>
      </w:r>
    </w:p>
    <w:p>
      <w:pPr>
        <w:pStyle w:val="Normal"/>
        <w:numPr>
          <w:ilvl w:val="0"/>
          <w:numId w:val="4"/>
        </w:numPr>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Outras informações existentes em seu contrato de trabalho, registro (evento S-2200 do eSocial), controles de pontos e similares.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sz w:val="22"/>
          <w:szCs w:val="22"/>
        </w:rPr>
        <w:t xml:space="preserve">2.2 </w:t>
      </w:r>
      <w:r>
        <w:rPr>
          <w:rFonts w:cs="Bookman Old Style" w:ascii="Bookman Old Style" w:hAnsi="Bookman Old Style"/>
          <w:bCs/>
          <w:color w:val="000000"/>
          <w:sz w:val="22"/>
          <w:szCs w:val="22"/>
        </w:rPr>
        <w:t>N</w:t>
      </w:r>
      <w:r>
        <w:rPr>
          <w:rFonts w:cs="Bookman Old Style" w:ascii="Bookman Old Style" w:hAnsi="Bookman Old Style"/>
          <w:color w:val="000000"/>
          <w:sz w:val="22"/>
          <w:szCs w:val="22"/>
        </w:rPr>
        <w:t xml:space="preserve">a hipótese de criação/alteração de Regulamento Interno da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 xml:space="preserve">, o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compromete-se em respeitá-lo, sendo certo que será/é parte integrante deste instrumento.</w:t>
      </w:r>
    </w:p>
    <w:p>
      <w:pPr>
        <w:pStyle w:val="Normal"/>
        <w:spacing w:before="0" w:after="0"/>
        <w:ind w:start="360"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t>DA CONFIDENCIALIDADE E PROPRIEDADE INTELECTUAL</w:t>
      </w:r>
    </w:p>
    <w:p>
      <w:pPr>
        <w:pStyle w:val="Normal"/>
        <w:spacing w:before="0" w:after="0"/>
        <w:ind w:start="360" w:end="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spacing w:before="0" w:after="0"/>
        <w:contextualSpacing/>
        <w:jc w:val="both"/>
        <w:rPr/>
      </w:pPr>
      <w:r>
        <w:rPr>
          <w:rFonts w:cs="Bookman Old Style" w:ascii="Bookman Old Style" w:hAnsi="Bookman Old Style"/>
          <w:sz w:val="22"/>
          <w:szCs w:val="22"/>
        </w:rPr>
        <w:t>3.1.</w:t>
      </w:r>
      <w:r>
        <w:rPr>
          <w:rFonts w:cs="Bookman Old Style" w:ascii="Bookman Old Style" w:hAnsi="Bookman Old Style"/>
          <w:b/>
          <w:bCs/>
          <w:sz w:val="22"/>
          <w:szCs w:val="22"/>
        </w:rPr>
        <w:t xml:space="preserve"> </w:t>
      </w:r>
      <w:r>
        <w:rPr>
          <w:rFonts w:cs="Bookman Old Style" w:ascii="Bookman Old Style" w:hAnsi="Bookman Old Style"/>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pPr>
        <w:pStyle w:val="Normal"/>
        <w:spacing w:before="0" w:after="0"/>
        <w:ind w:start="360"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Para fins do disposto neste instrumento, o </w:t>
      </w:r>
      <w:r>
        <w:rPr>
          <w:rFonts w:eastAsia="Trebuchet MS,MS Mincho" w:cs="Tahoma" w:ascii="Bookman Old Style" w:hAnsi="Bookman Old Style"/>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pPr>
        <w:pStyle w:val="Normal"/>
        <w:spacing w:before="0" w:after="0"/>
        <w:ind w:start="360"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0"/>
          <w:numId w:val="9"/>
        </w:numPr>
        <w:spacing w:before="0" w:after="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 xml:space="preserve">Informações internas da Empregadora a que tenha acesso, tais como informações de folha de pagamento, fiscais, contábeis, trabalhistas, dentre outras, seja da sede ou de quaisquer filiais; </w:t>
      </w:r>
    </w:p>
    <w:p>
      <w:pPr>
        <w:pStyle w:val="Normal"/>
        <w:numPr>
          <w:ilvl w:val="0"/>
          <w:numId w:val="3"/>
        </w:numPr>
        <w:spacing w:before="0" w:after="0"/>
        <w:ind w:hanging="357" w:start="1077" w:end="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pPr>
        <w:pStyle w:val="Normal"/>
        <w:numPr>
          <w:ilvl w:val="0"/>
          <w:numId w:val="3"/>
        </w:numPr>
        <w:spacing w:before="0" w:after="0"/>
        <w:ind w:hanging="357" w:start="1077" w:end="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Senhas conferidas e para seu uso no decorrer dos trabalhos;</w:t>
      </w:r>
    </w:p>
    <w:p>
      <w:pPr>
        <w:pStyle w:val="Normal"/>
        <w:numPr>
          <w:ilvl w:val="0"/>
          <w:numId w:val="3"/>
        </w:numPr>
        <w:shd w:fill="FFFFFF" w:val="clear"/>
        <w:spacing w:before="0" w:after="0"/>
        <w:ind w:hanging="357" w:start="1077" w:end="0"/>
        <w:contextualSpacing/>
        <w:jc w:val="both"/>
        <w:rPr>
          <w:rFonts w:ascii="Bookman Old Style" w:hAnsi="Bookman Old Style" w:eastAsia="Trebuchet MS,MS Mincho" w:cs="Tahoma"/>
          <w:sz w:val="22"/>
          <w:szCs w:val="22"/>
        </w:rPr>
      </w:pPr>
      <w:r>
        <w:rPr>
          <w:rFonts w:cs="Bookman Old Style" w:ascii="Bookman Old Style" w:hAnsi="Bookman Old Style"/>
          <w:sz w:val="22"/>
          <w:szCs w:val="22"/>
        </w:rPr>
        <w:t>Todas e quaisquer informações fornecidas, comunicadas ou reveladas, de uma parte à outra, seja verbalmente ou por escrito, em forma eletrônica (e-mail, textos, etc.), através de qualquer outra forma de transmissão entre as Partes,</w:t>
      </w:r>
      <w:r>
        <w:rPr>
          <w:rFonts w:cs="Bookman Old Style" w:ascii="Bookman Old Style" w:hAnsi="Bookman Old Style"/>
          <w:b/>
          <w:sz w:val="22"/>
          <w:szCs w:val="22"/>
        </w:rPr>
        <w:t xml:space="preserve"> </w:t>
      </w:r>
      <w:r>
        <w:rPr>
          <w:rFonts w:cs="Bookman Old Style" w:ascii="Bookman Old Style" w:hAnsi="Bookman Old Style"/>
          <w:sz w:val="22"/>
          <w:szCs w:val="22"/>
        </w:rPr>
        <w:t>para fins de cumprimento de cláusulas contratuais celebradas.</w:t>
      </w:r>
    </w:p>
    <w:p>
      <w:pPr>
        <w:pStyle w:val="Normal"/>
        <w:numPr>
          <w:ilvl w:val="0"/>
          <w:numId w:val="3"/>
        </w:numPr>
        <w:spacing w:before="0" w:after="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Descobertas, ideias,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pPr>
        <w:pStyle w:val="Normal"/>
        <w:numPr>
          <w:ilvl w:val="0"/>
          <w:numId w:val="3"/>
        </w:numPr>
        <w:spacing w:before="0" w:after="0"/>
        <w:contextualSpacing/>
        <w:jc w:val="both"/>
        <w:rPr>
          <w:rFonts w:ascii="Bookman Old Style" w:hAnsi="Bookman Old Style" w:eastAsia="Trebuchet MS,MS Mincho" w:cs="Tahoma"/>
          <w:sz w:val="22"/>
          <w:szCs w:val="22"/>
        </w:rPr>
      </w:pPr>
      <w:r>
        <w:rPr>
          <w:rFonts w:eastAsia="Trebuchet MS,MS Mincho" w:cs="Tahoma" w:ascii="Bookman Old Style" w:hAnsi="Bookman Old Style"/>
          <w:sz w:val="22"/>
          <w:szCs w:val="22"/>
        </w:rPr>
        <w:t>Informações pessoais ou profissionais de seus colegas de trabalho, principalmente aquelas que possam causar danos à imagem ou ao reconhecimento social que aquele possui.</w:t>
      </w:r>
    </w:p>
    <w:p>
      <w:pPr>
        <w:pStyle w:val="Normal"/>
        <w:spacing w:before="0" w:after="0"/>
        <w:ind w:start="360" w:end="0"/>
        <w:contextualSpacing/>
        <w:jc w:val="both"/>
        <w:rPr>
          <w:rFonts w:ascii="Bookman Old Style" w:hAnsi="Bookman Old Style" w:eastAsia="Trebuchet MS,MS Mincho" w:cs="Bookman Old Style"/>
          <w:sz w:val="22"/>
          <w:szCs w:val="22"/>
        </w:rPr>
      </w:pPr>
      <w:r>
        <w:rPr>
          <w:rFonts w:eastAsia="Trebuchet MS,MS Mincho"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pPr>
        <w:pStyle w:val="Normal"/>
        <w:spacing w:before="0" w:after="0"/>
        <w:ind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divulgá-lo a terceiros por quaisquer que sejam os meios. </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pPr>
        <w:pStyle w:val="PargrafodaLista"/>
        <w:rPr>
          <w:rFonts w:ascii="Bookman Old Style" w:hAnsi="Bookman Old Style" w:eastAsia="Trebuchet MS,MS Mincho" w:cs="Tahoma"/>
          <w:sz w:val="22"/>
          <w:szCs w:val="22"/>
        </w:rPr>
      </w:pPr>
      <w:r>
        <w:rPr>
          <w:rFonts w:eastAsia="Trebuchet MS,MS Mincho" w:cs="Tahoma"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eastAsia="Trebuchet MS,MS Mincho" w:cs="Tahoma" w:ascii="Bookman Old Style" w:hAnsi="Bookman Old Style"/>
          <w:sz w:val="22"/>
          <w:szCs w:val="22"/>
        </w:rPr>
        <w:t>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sublicenciar, publicamente realizar e comunicar, traduzir, arrendar, importar ou de outra forma explorar os Trabalhos. Em vista da relação de emprego firmada, o EMPREGADO não possui qualquer direito de reproduzir, adaptar, modificar, publicar, distribuir, sublicenciar,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pPr>
        <w:pStyle w:val="Normal"/>
        <w:spacing w:before="0" w:after="0"/>
        <w:ind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eastAsia="Trebuchet MS,MS Mincho" w:cs="Tahoma" w:ascii="Bookman Old Style" w:hAnsi="Bookman Old Style"/>
          <w:sz w:val="22"/>
          <w:szCs w:val="22"/>
        </w:rPr>
        <w:t>"Trabalhos" significam quaisquer invenções, segredos comerciais, ideias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pPr>
        <w:pStyle w:val="PargrafodaLista"/>
        <w:rPr>
          <w:rFonts w:ascii="Bookman Old Style" w:hAnsi="Bookman Old Style" w:cs="Arial"/>
          <w:sz w:val="22"/>
          <w:szCs w:val="22"/>
        </w:rPr>
      </w:pPr>
      <w:r>
        <w:rPr>
          <w:rFonts w:cs="Arial"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Arial" w:ascii="Bookman Old Style" w:hAnsi="Bookman Old Style"/>
          <w:sz w:val="22"/>
          <w:szCs w:val="22"/>
        </w:rPr>
        <w:t>É vedado ao EMPREGADO divulgar, por qualquer mídia, especialmente em redes sociais tais como (Facebook, Twitter, Orkut, MySpace, LinkedIn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A anulação de um item ou disposição deste Compromisso não prejudicará as demais cláusulas ou disposições nele contidas, as quais permanecerão válidas e continuarão a produzir seus efeitos de direito.</w:t>
      </w:r>
    </w:p>
    <w:p>
      <w:pPr>
        <w:pStyle w:val="PargrafodaLista"/>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2"/>
        </w:numPr>
        <w:spacing w:before="0" w:after="0"/>
        <w:ind w:hanging="709" w:start="709" w:end="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pPr>
        <w:pStyle w:val="Normal"/>
        <w:spacing w:lineRule="auto" w:line="360"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spacing w:before="0" w:after="0"/>
        <w:contextualSpacing/>
        <w:jc w:val="both"/>
        <w:rPr>
          <w:rFonts w:ascii="Bookman Old Style" w:hAnsi="Bookman Old Style" w:cs="Bookman Old Style"/>
          <w:b/>
          <w:color w:val="000000"/>
          <w:sz w:val="22"/>
          <w:szCs w:val="22"/>
        </w:rPr>
      </w:pPr>
      <w:commentRangeStart w:id="2"/>
      <w:r>
        <w:rPr>
          <w:rFonts w:cs="Bookman Old Style" w:ascii="Bookman Old Style" w:hAnsi="Bookman Old Style"/>
          <w:b/>
          <w:color w:val="000000"/>
          <w:sz w:val="22"/>
          <w:szCs w:val="22"/>
        </w:rPr>
        <w:t xml:space="preserve">HIPÓTESE DE AFASTAMENTO </w:t>
      </w:r>
      <w:commentRangeEnd w:id="2"/>
      <w:r>
        <w:commentReference w:id="2"/>
      </w:r>
      <w:r>
        <w:rPr>
          <w:rStyle w:val="Refdecomentrio"/>
          <w:vanish w:val="false"/>
        </w:rPr>
      </w:r>
    </w:p>
    <w:p>
      <w:pPr>
        <w:pStyle w:val="Normal"/>
        <w:spacing w:lineRule="auto" w:line="360"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 xml:space="preserve">4.1 Em caso de afastamento (seja junto à Previdência Social, ou não, por aposentadoria por invalidez ou qualquer outro benefício previdenciário, ou ainda, por meras ausências injustificadas), </w:t>
      </w:r>
      <w:r>
        <w:rPr>
          <w:rFonts w:cs="Bookman Old Style" w:ascii="Bookman Old Style" w:hAnsi="Bookman Old Style"/>
          <w:color w:val="000000"/>
          <w:sz w:val="22"/>
          <w:szCs w:val="22"/>
        </w:rPr>
        <w:t>ajusta-se de comum acordo que:</w:t>
      </w:r>
    </w:p>
    <w:p>
      <w:pPr>
        <w:pStyle w:val="Normal"/>
        <w:ind w:start="36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 xml:space="preserve">Em virtude do programa do governo denominado eSocial, o empregado concorda em manter seus dados atualizados junto a empregadora, tanto em relação aos seus telefones fixos e/ou celulares, e-mails e endereço residencial.  </w:t>
      </w:r>
      <w:r>
        <w:rPr>
          <w:rFonts w:cs="Bookman Old Style"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Pr>
          <w:rFonts w:cs="Bookman Old Style" w:ascii="Bookman Old Style" w:hAnsi="Bookman Old Style"/>
          <w:sz w:val="22"/>
          <w:szCs w:val="22"/>
        </w:rPr>
        <w:t>, mesmo que a convocação retorne com informações de “não recebida”, “mudou-se” ou qualquer outra que indique a ausência de recebimento.</w:t>
      </w:r>
    </w:p>
    <w:p>
      <w:pPr>
        <w:pStyle w:val="Normal"/>
        <w:ind w:start="720" w:end="0"/>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Caso ocorra recebimento de benefício previdenciário (de qualquer espécie), compromete-se a informar à empregadora caso o benefício seja cessado, bem como, a cada alteração da sua condição junto à Previdência Social, e a enviar para a Empregadora todas as comunicações de decisão, em especial, quando solicitadas pela empregadora.</w:t>
      </w:r>
    </w:p>
    <w:p>
      <w:pPr>
        <w:pStyle w:val="Normal"/>
        <w:ind w:start="72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O descumprimento das regras previstas nos itens acima ensejará a rescisão do contrato de trabalho por justa causa, nos termos do Artigo 482 da CLT.</w:t>
      </w:r>
    </w:p>
    <w:p>
      <w:pPr>
        <w:pStyle w:val="PargrafodaLista"/>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3"/>
      <w:r>
        <w:rPr>
          <w:rFonts w:cs="Bookman Old Style" w:ascii="Bookman Old Style" w:hAnsi="Bookman Old Style"/>
          <w:bCs/>
          <w:sz w:val="22"/>
          <w:szCs w:val="22"/>
        </w:rPr>
        <w:t>deverá pagar mensalmente através de boleto bancário (ou depósito em conta bancária</w:t>
      </w:r>
      <w:r>
        <w:rPr>
          <w:rStyle w:val="Refdecomentrio"/>
          <w:vanish w:val="false"/>
        </w:rPr>
      </w:r>
      <w:commentRangeEnd w:id="3"/>
      <w:r>
        <w:commentReference w:id="3"/>
      </w:r>
      <w:r>
        <w:rPr>
          <w:rFonts w:cs="Bookman Old Style"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pPr>
        <w:pStyle w:val="PargrafodaLista"/>
        <w:ind w:start="0" w:end="0"/>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lineRule="auto" w:line="276" w:before="0" w:after="0"/>
        <w:contextualSpacing/>
        <w:jc w:val="both"/>
        <w:rPr>
          <w:rFonts w:ascii="Bookman Old Style" w:hAnsi="Bookman Old Style" w:cs="Bookman Old Style"/>
          <w:b/>
          <w:sz w:val="22"/>
          <w:szCs w:val="22"/>
        </w:rPr>
      </w:pPr>
      <w:r>
        <w:rPr>
          <w:rFonts w:cs="Bookman Old Style" w:ascii="Bookman Old Style" w:hAnsi="Bookman Old Style"/>
          <w:b/>
          <w:sz w:val="22"/>
          <w:szCs w:val="22"/>
        </w:rPr>
        <w:t>DO USO DE MENSAGENS/WHATSAPP E SIMILARES</w:t>
      </w:r>
    </w:p>
    <w:p>
      <w:pPr>
        <w:pStyle w:val="Normal"/>
        <w:spacing w:lineRule="auto" w:line="276" w:before="0" w:after="0"/>
        <w:contextualSpacing/>
        <w:jc w:val="both"/>
        <w:rPr>
          <w:rFonts w:ascii="Bookman Old Style" w:hAnsi="Bookman Old Style" w:cs="Bookman Old Style"/>
          <w:b/>
          <w:sz w:val="22"/>
          <w:szCs w:val="22"/>
        </w:rPr>
      </w:pPr>
      <w:r>
        <w:rPr>
          <w:rFonts w:cs="Bookman Old Style" w:ascii="Bookman Old Style" w:hAnsi="Bookman Old Style"/>
          <w:b/>
          <w:sz w:val="22"/>
          <w:szCs w:val="22"/>
        </w:rPr>
      </w:r>
    </w:p>
    <w:p>
      <w:pPr>
        <w:pStyle w:val="Normal"/>
        <w:spacing w:lineRule="auto" w:line="276" w:before="0" w:after="0"/>
        <w:contextualSpacing/>
        <w:jc w:val="both"/>
        <w:rPr/>
      </w:pPr>
      <w:r>
        <w:rPr>
          <w:rFonts w:cs="Bookman Old Style" w:ascii="Bookman Old Style" w:hAnsi="Bookman Old Style"/>
          <w:sz w:val="22"/>
          <w:szCs w:val="22"/>
        </w:rPr>
        <w:t>5.1 O Empregado se compromete a, nos grupos de ferramentas digitais/aplicativos (WhatsApp, telegram, Skype e similares) para uso corporativo, restringir as mensagens a assuntos do trabalho e possuir o comportamento adequado a este ambiente virtual, cumprindo as seguintes regras:</w:t>
      </w:r>
    </w:p>
    <w:p>
      <w:pPr>
        <w:pStyle w:val="Normal"/>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promover represálias entre os profissionais;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promover cobranças de metas, resultados ou objetivos de forma inadequada ou de forma a se constatar abusos entre os interlocutores;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se utilizar dessas ferramentas em horários diversos aos de trabalho, a fim de preservar o repouso;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utilizar, sons e vídeos de terceiros, sem a devida autorização expressa;</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enviar informações, correntes, fotos ou mensagens não relacionadas as atividades e estranhas ao ambiente corporativo;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Enviar textos em minúsculos, lembrando que os textos em letras maiúsculas sugerem um tom de voz elevado ou gritos;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compartilhar fatos da vida pessoal ou de terceiros;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Priorizar envio de mensagens de texto ao invés de mensagens de voz, a fim dos temas serem facilmente localizados;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Em caso de uso de mensagem de voz, deve-se evitar tons elevados/altos;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Em caso de mensagens de áudios, enviar com no máximo 01 a 02 minutos, de forma objetiva e clara.</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tratar de assuntos complexos pelas ferramentas digitais/aplicativos. O Empregado ligará para a outra pessoa e tratará diretamente sobre o assunto;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Optar por ligação para assuntos importantes/urgentes, uma vez que por mensagem a resposta pode não ser imediata. </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Não desviar a atenção do que é prioridade, para envio de mensagens, a fim de não afetar a produtividade. </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Preservar dois ou três horários durante o dia para verificar e responder as mensagens todas de uma vez.</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Não se utilizar de fotos de perfil que sejam sensuais, com bebidas, regatas, chinelos e nudez.</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 xml:space="preserve">Evitar mandar várias palavras ou frases, em partes. </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O Empregado deve colaborar, de forma eficaz para que a utilização dos aplicativos sejam produtivos, evitando-se desperdício de tempo.</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pPr>
        <w:pStyle w:val="Normal"/>
        <w:numPr>
          <w:ilvl w:val="1"/>
          <w:numId w:val="7"/>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sz w:val="22"/>
          <w:szCs w:val="22"/>
        </w:rPr>
        <w:t>Ajusta-se que as regras constantes neste instrumento poderão ser alteradas ou complementadas através de Regulamento Interno.</w:t>
      </w:r>
    </w:p>
    <w:p>
      <w:pPr>
        <w:pStyle w:val="PargrafodaLista"/>
        <w:ind w:start="0" w:end="0"/>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pPr>
      <w:r>
        <w:rPr>
          <w:rFonts w:cs="Bookman Old Style" w:ascii="Bookman Old Style" w:hAnsi="Bookman Old Style"/>
          <w:color w:val="000000"/>
          <w:sz w:val="22"/>
          <w:szCs w:val="22"/>
        </w:rPr>
        <w:t>6.1 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t>TEMPO DE CONTRIBUIÇÃO – MEU INSS</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 xml:space="preserve">7.1 </w:t>
      </w:r>
      <w:r>
        <w:rPr>
          <w:rFonts w:cs="Bookman Old Style" w:ascii="Bookman Old Style" w:hAnsi="Bookman Old Style"/>
          <w:color w:val="000000"/>
          <w:sz w:val="22"/>
          <w:szCs w:val="22"/>
        </w:rPr>
        <w:t>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pPr>
      <w:r>
        <w:rPr>
          <w:rFonts w:cs="Arial" w:ascii="Bookman Old Style" w:hAnsi="Bookman Old Style"/>
          <w:color w:val="000000"/>
          <w:sz w:val="22"/>
          <w:szCs w:val="22"/>
        </w:rPr>
        <w:t xml:space="preserve">8.1 </w:t>
      </w:r>
      <w:r>
        <w:rPr>
          <w:rFonts w:cs="Bookman Old Style" w:ascii="Bookman Old Style" w:hAnsi="Bookman Old Style"/>
          <w:color w:val="000000"/>
          <w:sz w:val="22"/>
          <w:szCs w:val="22"/>
        </w:rPr>
        <w:t>O Empregado compromete-se a comunicar expressamente a Empregadora (enviando a carta de concessão ou documento similar) em caso de aposentadoria por tempo de serviço, por idade ou outra similar que venha a ser criada e que possua objetivo similar.</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9.1 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 xml:space="preserve">10.1 Além dos descontos previstos em Lei, o </w:t>
      </w:r>
      <w:r>
        <w:rPr>
          <w:rFonts w:cs="Arial" w:ascii="Bookman Old Style" w:hAnsi="Bookman Old Style"/>
          <w:b/>
          <w:bCs/>
          <w:color w:val="000000"/>
          <w:sz w:val="22"/>
          <w:szCs w:val="22"/>
        </w:rPr>
        <w:t>EMPREGADO</w:t>
      </w:r>
      <w:r>
        <w:rPr>
          <w:rFonts w:cs="Arial" w:ascii="Bookman Old Style" w:hAnsi="Bookman Old Style"/>
          <w:color w:val="000000"/>
          <w:sz w:val="22"/>
          <w:szCs w:val="22"/>
        </w:rPr>
        <w:t xml:space="preserve"> obriga-se a ressarcir à </w:t>
      </w:r>
      <w:r>
        <w:rPr>
          <w:rFonts w:cs="Arial" w:ascii="Bookman Old Style" w:hAnsi="Bookman Old Style"/>
          <w:b/>
          <w:bCs/>
          <w:color w:val="000000"/>
          <w:sz w:val="22"/>
          <w:szCs w:val="22"/>
        </w:rPr>
        <w:t>EMPREGADORA</w:t>
      </w:r>
      <w:r>
        <w:rPr>
          <w:rFonts w:cs="Arial" w:ascii="Bookman Old Style" w:hAnsi="Bookman Old Style"/>
          <w:color w:val="000000"/>
          <w:sz w:val="22"/>
          <w:szCs w:val="22"/>
        </w:rPr>
        <w:t xml:space="preserve">, os prejuízos que causar a esta ou à </w:t>
      </w:r>
      <w:r>
        <w:rPr>
          <w:rFonts w:cs="Arial" w:ascii="Bookman Old Style" w:hAnsi="Bookman Old Style"/>
          <w:bCs/>
          <w:color w:val="000000"/>
          <w:sz w:val="22"/>
          <w:szCs w:val="22"/>
        </w:rPr>
        <w:t>terceiros, tomadores de serviço ou clientes,</w:t>
      </w:r>
      <w:r>
        <w:rPr>
          <w:rFonts w:cs="Arial" w:ascii="Bookman Old Style" w:hAnsi="Bookman Old Style"/>
          <w:color w:val="000000"/>
          <w:sz w:val="22"/>
          <w:szCs w:val="22"/>
        </w:rPr>
        <w:t xml:space="preserve"> por ação ou omissão dolosa ou culposa (negligência, imprudência ou imperícia), cabendo à </w:t>
      </w:r>
      <w:r>
        <w:rPr>
          <w:rFonts w:cs="Arial" w:ascii="Bookman Old Style" w:hAnsi="Bookman Old Style"/>
          <w:b/>
          <w:bCs/>
          <w:color w:val="000000"/>
          <w:sz w:val="22"/>
          <w:szCs w:val="22"/>
        </w:rPr>
        <w:t>EMPREGADORA</w:t>
      </w:r>
      <w:r>
        <w:rPr>
          <w:rFonts w:cs="Arial" w:ascii="Bookman Old Style" w:hAnsi="Bookman Old Style"/>
          <w:color w:val="000000"/>
          <w:sz w:val="22"/>
          <w:szCs w:val="22"/>
        </w:rPr>
        <w:t xml:space="preserve"> a seu exclusivo critério, o modo e prazo desse </w:t>
      </w:r>
      <w:commentRangeStart w:id="4"/>
      <w:r>
        <w:rPr>
          <w:rFonts w:cs="Arial" w:ascii="Bookman Old Style" w:hAnsi="Bookman Old Style"/>
          <w:color w:val="000000"/>
          <w:sz w:val="22"/>
          <w:szCs w:val="22"/>
        </w:rPr>
        <w:t>ressarcimento</w:t>
      </w:r>
      <w:r>
        <w:rPr>
          <w:rStyle w:val="Refdecomentrio"/>
          <w:vanish w:val="false"/>
        </w:rPr>
      </w:r>
      <w:commentRangeEnd w:id="4"/>
      <w:r>
        <w:commentReference w:id="4"/>
      </w:r>
      <w:r>
        <w:rPr>
          <w:rFonts w:cs="Arial" w:ascii="Bookman Old Style" w:hAnsi="Bookman Old Style"/>
          <w:color w:val="000000"/>
          <w:sz w:val="22"/>
          <w:szCs w:val="22"/>
        </w:rPr>
        <w:t>.</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bCs/>
          <w:sz w:val="22"/>
          <w:szCs w:val="22"/>
        </w:rPr>
        <w:t xml:space="preserve">11.1 </w:t>
      </w:r>
      <w:bookmarkStart w:id="0" w:name="_Hlk49966097"/>
      <w:r>
        <w:rPr>
          <w:rFonts w:cs="Arial" w:ascii="Bookman Old Style" w:hAnsi="Bookman Old Style"/>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w:t>
      </w:r>
      <w:commentRangeStart w:id="5"/>
      <w:r>
        <w:rPr>
          <w:rFonts w:cs="Arial" w:ascii="Bookman Old Style" w:hAnsi="Bookman Old Style"/>
          <w:bCs/>
          <w:sz w:val="22"/>
          <w:szCs w:val="22"/>
        </w:rPr>
        <w:t>instrumento</w:t>
      </w:r>
      <w:r>
        <w:rPr>
          <w:rStyle w:val="Refdecomentrio"/>
          <w:vanish w:val="false"/>
        </w:rPr>
      </w:r>
      <w:commentRangeEnd w:id="5"/>
      <w:r>
        <w:commentReference w:id="5"/>
      </w:r>
      <w:r>
        <w:rPr>
          <w:rFonts w:cs="Arial" w:ascii="Bookman Old Style" w:hAnsi="Bookman Old Style"/>
          <w:bCs/>
          <w:sz w:val="22"/>
          <w:szCs w:val="22"/>
        </w:rPr>
        <w:t xml:space="preserve">. </w:t>
      </w:r>
      <w:bookmarkEnd w:id="0"/>
    </w:p>
    <w:p>
      <w:pPr>
        <w:pStyle w:val="PargrafodaLista"/>
        <w:ind w:start="0" w:end="0"/>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bCs/>
          <w:sz w:val="22"/>
          <w:szCs w:val="22"/>
        </w:rPr>
        <w:t>12.1 Ajusta-se que este instrumento poderá ser assinado de forma digital ou eletrônica nos termos da MP 2.200.</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t>As partes elegem o foro desta Comarca, para dirimir as questões oriundas deste contrato.</w:t>
      </w:r>
    </w:p>
    <w:p>
      <w:pPr>
        <w:pStyle w:val="Normal"/>
        <w:spacing w:lineRule="auto" w:line="360" w:before="0" w:after="0"/>
        <w:contextualSpacing/>
        <w:jc w:val="both"/>
        <w:rPr>
          <w:rFonts w:ascii="Bookman Old Style" w:hAnsi="Bookman Old Style" w:cs="Arial"/>
          <w:b/>
          <w:bCs/>
          <w:color w:val="000000"/>
          <w:sz w:val="22"/>
          <w:szCs w:val="22"/>
        </w:rPr>
      </w:pPr>
      <w:r>
        <w:rPr>
          <w:rFonts w:cs="Arial" w:ascii="Bookman Old Style" w:hAnsi="Bookman Old Style"/>
          <w:b/>
          <w:bCs/>
          <w:color w:val="000000"/>
          <w:sz w:val="22"/>
          <w:szCs w:val="22"/>
        </w:rPr>
      </w:r>
    </w:p>
    <w:p>
      <w:pPr>
        <w:pStyle w:val="Normal"/>
        <w:spacing w:before="0" w:after="0"/>
        <w:contextualSpacing/>
        <w:jc w:val="both"/>
        <w:rPr/>
      </w:pPr>
      <w:r>
        <w:rPr>
          <w:rFonts w:cs="Bookman Old Style" w:ascii="Bookman Old Style" w:hAnsi="Bookman Old Style"/>
          <w:color w:val="000000"/>
          <w:sz w:val="22"/>
          <w:szCs w:val="22"/>
        </w:rPr>
        <w:t>{{CIDADE}}</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{{DIA}}</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de {{MES}}</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de 20{{ANO2}}</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EMPREGADORA</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eastAsia="Bookman Old Style" w:cs="Bookman Old Style" w:ascii="Bookman Old Style" w:hAnsi="Bookman Old Style"/>
          <w:dstrike/>
          <w:color w:val="000000"/>
          <w:sz w:val="22"/>
          <w:szCs w:val="22"/>
        </w:rPr>
        <w:t xml:space="preserve"> </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Testemunhas: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1)</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2)</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lineRule="auto" w:line="360" w:before="0" w:after="0"/>
        <w:contextualSpacing/>
        <w:rPr>
          <w:rFonts w:ascii="Bookman Old Style" w:hAnsi="Bookman Old Style" w:cs="Arial"/>
          <w:color w:val="000000"/>
          <w:sz w:val="22"/>
          <w:szCs w:val="22"/>
        </w:rPr>
      </w:pPr>
      <w:r>
        <w:rPr>
          <w:rFonts w:cs="Arial" w:ascii="Bookman Old Style" w:hAnsi="Bookman Old Style"/>
          <w:color w:val="000000"/>
          <w:sz w:val="22"/>
          <w:szCs w:val="22"/>
        </w:rPr>
      </w:r>
    </w:p>
    <w:sectPr>
      <w:headerReference w:type="default" r:id="rId2"/>
      <w:footerReference w:type="default" r:id="rId3"/>
      <w:type w:val="nextPage"/>
      <w:pgSz w:w="11906" w:h="16838"/>
      <w:pgMar w:left="1701" w:right="1134" w:gutter="0" w:header="720" w:top="1134" w:footer="72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 xml:space="preserve">Se o uso da imagem for para </w:t>
      </w:r>
    </w:p>
    <w:p>
      <w:pPr>
        <w:overflowPunct w:val="false"/>
        <w:bidi w:val="0"/>
        <w:rPr/>
      </w:pPr>
      <w:r>
        <w:rPr>
          <w:rFonts w:ascii="Times New Roman" w:hAnsi="Times New Roman" w:eastAsia="Times New Roman" w:cs="Times New Roman"/>
          <w:color w:val="auto"/>
          <w:sz w:val="20"/>
          <w:szCs w:val="20"/>
          <w:lang w:eastAsia="en-US" w:val="pt-BR" w:bidi="ar-SA"/>
        </w:rPr>
        <w:t xml:space="preserve">veiculação interna, esta cláusula </w:t>
      </w:r>
    </w:p>
    <w:p>
      <w:pPr>
        <w:overflowPunct w:val="false"/>
        <w:bidi w:val="0"/>
        <w:rPr/>
      </w:pPr>
      <w:r>
        <w:rPr>
          <w:rFonts w:ascii="Times New Roman" w:hAnsi="Times New Roman" w:eastAsia="Times New Roman" w:cs="Times New Roman"/>
          <w:color w:val="auto"/>
          <w:sz w:val="20"/>
          <w:szCs w:val="20"/>
          <w:lang w:eastAsia="en-US" w:val="pt-BR" w:bidi="ar-SA"/>
        </w:rPr>
        <w:t xml:space="preserve">pode ser utilizada. Se para </w:t>
      </w:r>
    </w:p>
    <w:p>
      <w:pPr>
        <w:overflowPunct w:val="false"/>
        <w:bidi w:val="0"/>
        <w:rPr/>
      </w:pPr>
      <w:r>
        <w:rPr>
          <w:rFonts w:ascii="Times New Roman" w:hAnsi="Times New Roman" w:eastAsia="Times New Roman" w:cs="Times New Roman"/>
          <w:color w:val="auto"/>
          <w:sz w:val="20"/>
          <w:szCs w:val="20"/>
          <w:lang w:eastAsia="en-US" w:val="pt-BR" w:bidi="ar-SA"/>
        </w:rPr>
        <w:t xml:space="preserve">utilização em COMERCIAIS, </w:t>
      </w:r>
    </w:p>
    <w:p>
      <w:pPr>
        <w:overflowPunct w:val="false"/>
        <w:bidi w:val="0"/>
        <w:rPr/>
      </w:pPr>
      <w:r>
        <w:rPr>
          <w:rFonts w:ascii="Times New Roman" w:hAnsi="Times New Roman" w:eastAsia="Times New Roman" w:cs="Times New Roman"/>
          <w:color w:val="auto"/>
          <w:sz w:val="20"/>
          <w:szCs w:val="20"/>
          <w:lang w:eastAsia="en-US" w:val="pt-BR" w:bidi="ar-SA"/>
        </w:rPr>
        <w:t>deve-se ajustar contraprestação</w:t>
      </w:r>
    </w:p>
    <w:p>
      <w:pPr>
        <w:overflowPunct w:val="false"/>
        <w:bidi w:val="0"/>
        <w:rPr/>
      </w:pPr>
      <w:r>
        <w:rPr>
          <w:rFonts w:ascii="Times New Roman" w:hAnsi="Times New Roman" w:eastAsia="Times New Roman" w:cs="Times New Roman"/>
          <w:color w:val="auto"/>
          <w:sz w:val="20"/>
          <w:szCs w:val="20"/>
          <w:lang w:eastAsia="en-US" w:val="pt-BR" w:bidi="ar-SA"/>
        </w:rPr>
        <w:t xml:space="preserve"> pelo uso, e consignar o valor.</w:t>
      </w:r>
    </w:p>
    <w:p>
      <w:pPr>
        <w:overflowPunct w:val="false"/>
        <w:bidi w:val="0"/>
        <w:rPr/>
      </w:pPr>
      <w:r>
        <w:rPr>
          <w:rFonts w:ascii="Liberation Serif" w:hAnsi="Liberation Serif" w:eastAsia="DejaVu Sans" w:cs="DejaVu Sans"/>
          <w:lang w:val="en-US" w:eastAsia="en-US" w:bidi="en-US"/>
        </w:rPr>
      </w:r>
    </w:p>
  </w:comment>
  <w:comment w:id="1"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Lei Geral de Proteção de Dados – entrada em vigor em 2020</w:t>
      </w:r>
    </w:p>
  </w:comment>
  <w:comment w:id="2"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Afastamento</w:t>
      </w:r>
    </w:p>
  </w:comment>
  <w:comment w:id="3"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Podemos ajustar já incluindo a forma de pagamento.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Mas, devemos lembrar que esta regra presta-se a efeito moral, pois mesmo que o empregado não pague, o plano de saúde deverá ser mantido.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Em suma: JAMAIS cortem o plano de saúde.</w:t>
      </w:r>
    </w:p>
  </w:comment>
  <w:comment w:id="4" w:author="Juridico sem uso" w:date="2024-04-05T11:51:00Z" w:initials="Jsu">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Importante para permitir</w:t>
      </w:r>
    </w:p>
    <w:p>
      <w:pPr>
        <w:overflowPunct w:val="false"/>
        <w:bidi w:val="0"/>
        <w:rPr/>
      </w:pPr>
      <w:r>
        <w:rPr>
          <w:rFonts w:ascii="Times New Roman" w:hAnsi="Times New Roman" w:eastAsia="Times New Roman" w:cs="Times New Roman"/>
          <w:color w:val="auto"/>
          <w:sz w:val="20"/>
          <w:szCs w:val="20"/>
          <w:lang w:eastAsia="en-US" w:val="pt-BR" w:bidi="ar-SA"/>
        </w:rPr>
        <w:t xml:space="preserve"> descontos por atos culposos </w:t>
      </w:r>
    </w:p>
    <w:p>
      <w:pPr>
        <w:overflowPunct w:val="false"/>
        <w:bidi w:val="0"/>
        <w:rPr/>
      </w:pPr>
      <w:r>
        <w:rPr>
          <w:rFonts w:ascii="Times New Roman" w:hAnsi="Times New Roman" w:eastAsia="Times New Roman" w:cs="Times New Roman"/>
          <w:color w:val="auto"/>
          <w:sz w:val="20"/>
          <w:szCs w:val="20"/>
          <w:lang w:eastAsia="en-US" w:val="pt-BR" w:bidi="ar-SA"/>
        </w:rPr>
        <w:t>do empregado.</w:t>
      </w:r>
    </w:p>
  </w:comment>
  <w:comment w:id="5" w:author="Juridico sem uso" w:date="2024-04-05T11:51:00Z" w:initials="Jsu">
    <w:p>
      <w:pPr>
        <w:overflowPunct w:val="false"/>
        <w:bidi w:val="0"/>
        <w:rPr/>
      </w:pPr>
      <w:r>
        <w:rPr>
          <w:rFonts w:ascii="Times New Roman" w:hAnsi="Times New Roman" w:eastAsia="Times New Roman" w:cs="Times New Roman"/>
          <w:color w:val="auto"/>
          <w:sz w:val="20"/>
          <w:szCs w:val="20"/>
          <w:lang w:eastAsia="en-US" w:val="pt-BR" w:bidi="ar-SA"/>
        </w:rPr>
        <w:t>Caso a assinatura eletrônica se dê por e-mail ou WhatsApp, confirmar se temos algum documento assinado pelo profissional que comprove esses dados que utilizaremos para a assinatura.</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Pode ser algum documento assinado durante o processo de seleção de mão de obra.</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Pode ser, também, um e-mail corporativo da própria empresa, caso estejamos falando de um profissional já contratado.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rial Narrow">
    <w:charset w:val="00" w:characterSet="windows-1252"/>
    <w:family w:val="swiss"/>
    <w:pitch w:val="variable"/>
  </w:font>
  <w:font w:name="Bookman Old Style">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Bookman Old Style" w:ascii="Bookman Old Style" w:hAnsi="Bookman Old Style"/>
        <w:sz w:val="18"/>
        <w:szCs w:val="18"/>
      </w:rPr>
      <w:t xml:space="preserve">Página </w:t>
    </w:r>
    <w:r>
      <w:rPr>
        <w:rFonts w:cs="Bookman Old Style" w:ascii="Bookman Old Style" w:hAnsi="Bookman Old Style"/>
        <w:b/>
        <w:sz w:val="18"/>
        <w:szCs w:val="18"/>
      </w:rPr>
      <w:fldChar w:fldCharType="begin"/>
    </w:r>
    <w:r>
      <w:rPr>
        <w:sz w:val="18"/>
        <w:b/>
        <w:szCs w:val="18"/>
        <w:rFonts w:cs="Bookman Old Style" w:ascii="Bookman Old Style" w:hAnsi="Bookman Old Style"/>
      </w:rPr>
      <w:instrText xml:space="preserve"> PAGE </w:instrText>
    </w:r>
    <w:r>
      <w:rPr>
        <w:sz w:val="18"/>
        <w:b/>
        <w:szCs w:val="18"/>
        <w:rFonts w:cs="Bookman Old Style" w:ascii="Bookman Old Style" w:hAnsi="Bookman Old Style"/>
      </w:rPr>
      <w:fldChar w:fldCharType="separate"/>
    </w:r>
    <w:r>
      <w:rPr>
        <w:sz w:val="18"/>
        <w:b/>
        <w:szCs w:val="18"/>
        <w:rFonts w:cs="Bookman Old Style" w:ascii="Bookman Old Style" w:hAnsi="Bookman Old Style"/>
      </w:rPr>
      <w:t>9</w:t>
    </w:r>
    <w:r>
      <w:rPr>
        <w:sz w:val="18"/>
        <w:b/>
        <w:szCs w:val="18"/>
        <w:rFonts w:cs="Bookman Old Style" w:ascii="Bookman Old Style" w:hAnsi="Bookman Old Style"/>
      </w:rPr>
      <w:fldChar w:fldCharType="end"/>
    </w:r>
    <w:r>
      <w:rPr>
        <w:rFonts w:cs="Bookman Old Style" w:ascii="Bookman Old Style" w:hAnsi="Bookman Old Style"/>
        <w:sz w:val="18"/>
        <w:szCs w:val="18"/>
      </w:rPr>
      <w:t xml:space="preserve"> de </w:t>
    </w:r>
    <w:r>
      <w:rPr>
        <w:rFonts w:cs="Bookman Old Style" w:ascii="Bookman Old Style" w:hAnsi="Bookman Old Style"/>
        <w:b/>
        <w:sz w:val="18"/>
        <w:szCs w:val="18"/>
      </w:rPr>
      <w:fldChar w:fldCharType="begin"/>
    </w:r>
    <w:r>
      <w:rPr>
        <w:sz w:val="18"/>
        <w:b/>
        <w:szCs w:val="18"/>
        <w:rFonts w:cs="Bookman Old Style" w:ascii="Bookman Old Style" w:hAnsi="Bookman Old Style"/>
      </w:rPr>
      <w:instrText xml:space="preserve"> NUMPAGES \* ARABIC </w:instrText>
    </w:r>
    <w:r>
      <w:rPr>
        <w:sz w:val="18"/>
        <w:b/>
        <w:szCs w:val="18"/>
        <w:rFonts w:cs="Bookman Old Style" w:ascii="Bookman Old Style" w:hAnsi="Bookman Old Style"/>
      </w:rPr>
      <w:fldChar w:fldCharType="separate"/>
    </w:r>
    <w:r>
      <w:rPr>
        <w:sz w:val="18"/>
        <w:b/>
        <w:szCs w:val="18"/>
        <w:rFonts w:cs="Bookman Old Style" w:ascii="Bookman Old Style" w:hAnsi="Bookman Old Style"/>
      </w:rPr>
      <w:t>9</w:t>
    </w:r>
    <w:r>
      <w:rPr>
        <w:sz w:val="18"/>
        <w:b/>
        <w:szCs w:val="18"/>
        <w:rFonts w:cs="Bookman Old Style" w:ascii="Bookman Old Style" w:hAnsi="Bookman Old Styl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2"/>
      <w:numFmt w:val="decimal"/>
      <w:lvlText w:val="%1.%2"/>
      <w:lvlJc w:val="start"/>
      <w:pPr>
        <w:tabs>
          <w:tab w:val="num" w:pos="0"/>
        </w:tabs>
        <w:ind w:start="360" w:hanging="360"/>
      </w:pPr>
      <w:rPr>
        <w:b w:val="false"/>
        <w:bCs w:val="false"/>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3">
    <w:lvl w:ilvl="0">
      <w:start w:val="1"/>
      <w:numFmt w:val="lowerLetter"/>
      <w:lvlText w:val="%1)"/>
      <w:lvlJc w:val="start"/>
      <w:pPr>
        <w:tabs>
          <w:tab w:val="num" w:pos="0"/>
        </w:tabs>
        <w:ind w:start="1080" w:hanging="360"/>
      </w:pPr>
      <w:rPr/>
    </w:lvl>
  </w:abstractNum>
  <w:abstractNum w:abstractNumId="4">
    <w:lvl w:ilvl="0">
      <w:start w:val="1"/>
      <w:numFmt w:val="lowerLetter"/>
      <w:lvlText w:val="%1)"/>
      <w:lvlJc w:val="start"/>
      <w:pPr>
        <w:tabs>
          <w:tab w:val="num" w:pos="0"/>
        </w:tabs>
        <w:ind w:start="720" w:hanging="360"/>
      </w:pPr>
      <w:rPr>
        <w:rFonts w:cs="Arial"/>
        <w:color w:val="000000"/>
      </w:rPr>
    </w:lvl>
  </w:abstractNum>
  <w:abstractNum w:abstractNumId="5">
    <w:lvl w:ilvl="0">
      <w:start w:val="1"/>
      <w:numFmt w:val="lowerLetter"/>
      <w:lvlText w:val="%1)"/>
      <w:lvlJc w:val="start"/>
      <w:pPr>
        <w:tabs>
          <w:tab w:val="num" w:pos="0"/>
        </w:tabs>
        <w:ind w:start="720" w:hanging="360"/>
      </w:pPr>
      <w:rPr>
        <w:b w:val="false"/>
        <w:bCs/>
      </w:rPr>
    </w:lvl>
  </w:abstractNum>
  <w:abstractNum w:abstractNumId="6">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1869" w:hanging="360"/>
      </w:pPr>
      <w:rPr>
        <w:b w:val="false"/>
      </w:rPr>
    </w:lvl>
    <w:lvl w:ilvl="2">
      <w:start w:val="1"/>
      <w:numFmt w:val="decimal"/>
      <w:lvlText w:val="%1.%2.%3"/>
      <w:lvlJc w:val="start"/>
      <w:pPr>
        <w:tabs>
          <w:tab w:val="num" w:pos="0"/>
        </w:tabs>
        <w:ind w:start="3738" w:hanging="720"/>
      </w:pPr>
      <w:rPr>
        <w:b w:val="false"/>
      </w:rPr>
    </w:lvl>
    <w:lvl w:ilvl="3">
      <w:start w:val="1"/>
      <w:numFmt w:val="decimal"/>
      <w:lvlText w:val="%1.%2.%3.%4"/>
      <w:lvlJc w:val="start"/>
      <w:pPr>
        <w:tabs>
          <w:tab w:val="num" w:pos="0"/>
        </w:tabs>
        <w:ind w:start="5607" w:hanging="1080"/>
      </w:pPr>
      <w:rPr>
        <w:b w:val="false"/>
      </w:rPr>
    </w:lvl>
    <w:lvl w:ilvl="4">
      <w:start w:val="1"/>
      <w:numFmt w:val="decimal"/>
      <w:lvlText w:val="%1.%2.%3.%4.%5"/>
      <w:lvlJc w:val="start"/>
      <w:pPr>
        <w:tabs>
          <w:tab w:val="num" w:pos="0"/>
        </w:tabs>
        <w:ind w:start="7116" w:hanging="1080"/>
      </w:pPr>
      <w:rPr>
        <w:b w:val="false"/>
      </w:rPr>
    </w:lvl>
    <w:lvl w:ilvl="5">
      <w:start w:val="1"/>
      <w:numFmt w:val="decimal"/>
      <w:lvlText w:val="%1.%2.%3.%4.%5.%6"/>
      <w:lvlJc w:val="start"/>
      <w:pPr>
        <w:tabs>
          <w:tab w:val="num" w:pos="0"/>
        </w:tabs>
        <w:ind w:start="8985" w:hanging="1440"/>
      </w:pPr>
      <w:rPr>
        <w:b w:val="false"/>
      </w:rPr>
    </w:lvl>
    <w:lvl w:ilvl="6">
      <w:start w:val="1"/>
      <w:numFmt w:val="decimal"/>
      <w:lvlText w:val="%1.%2.%3.%4.%5.%6.%7"/>
      <w:lvlJc w:val="start"/>
      <w:pPr>
        <w:tabs>
          <w:tab w:val="num" w:pos="0"/>
        </w:tabs>
        <w:ind w:start="10494" w:hanging="1440"/>
      </w:pPr>
      <w:rPr>
        <w:b w:val="false"/>
      </w:rPr>
    </w:lvl>
    <w:lvl w:ilvl="7">
      <w:start w:val="1"/>
      <w:numFmt w:val="decimal"/>
      <w:lvlText w:val="%1.%2.%3.%4.%5.%6.%7.%8"/>
      <w:lvlJc w:val="start"/>
      <w:pPr>
        <w:tabs>
          <w:tab w:val="num" w:pos="0"/>
        </w:tabs>
        <w:ind w:start="12363" w:hanging="1800"/>
      </w:pPr>
      <w:rPr>
        <w:b w:val="false"/>
      </w:rPr>
    </w:lvl>
    <w:lvl w:ilvl="8">
      <w:start w:val="1"/>
      <w:numFmt w:val="decimal"/>
      <w:lvlText w:val="%1.%2.%3.%4.%5.%6.%7.%8.%9"/>
      <w:lvlJc w:val="start"/>
      <w:pPr>
        <w:tabs>
          <w:tab w:val="num" w:pos="0"/>
        </w:tabs>
        <w:ind w:start="13872" w:hanging="1800"/>
      </w:pPr>
      <w:rPr>
        <w:b w:val="false"/>
      </w:rPr>
    </w:lvl>
  </w:abstractNum>
  <w:abstractNum w:abstractNumId="7">
    <w:lvl w:ilvl="0">
      <w:start w:val="1"/>
      <w:numFmt w:val="lowerRoman"/>
      <w:lvlText w:val="%1."/>
      <w:lvlJc w:val="end"/>
      <w:pPr>
        <w:tabs>
          <w:tab w:val="num" w:pos="0"/>
        </w:tabs>
        <w:ind w:start="720" w:hanging="360"/>
      </w:p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3"/>
    <w:lvlOverride w:ilvl="0">
      <w:startOverride w:val="1"/>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outlineLvl w:val="0"/>
    </w:pPr>
    <w:rPr>
      <w:rFonts w:ascii="Arial" w:hAnsi="Arial" w:cs="Arial"/>
      <w:szCs w:val="20"/>
    </w:rPr>
  </w:style>
  <w:style w:type="paragraph" w:styleId="Heading2">
    <w:name w:val="Heading 2"/>
    <w:basedOn w:val="Normal"/>
    <w:next w:val="Normal"/>
    <w:qFormat/>
    <w:pPr>
      <w:keepNext w:val="true"/>
      <w:numPr>
        <w:ilvl w:val="1"/>
        <w:numId w:val="1"/>
      </w:numPr>
      <w:jc w:val="center"/>
      <w:outlineLvl w:val="1"/>
    </w:pPr>
    <w:rPr>
      <w:szCs w:val="20"/>
    </w:rPr>
  </w:style>
  <w:style w:type="paragraph" w:styleId="Heading3">
    <w:name w:val="Heading 3"/>
    <w:basedOn w:val="Normal"/>
    <w:next w:val="Normal"/>
    <w:qFormat/>
    <w:pPr>
      <w:keepNext w:val="true"/>
      <w:numPr>
        <w:ilvl w:val="2"/>
        <w:numId w:val="1"/>
      </w:numPr>
      <w:jc w:val="both"/>
      <w:outlineLvl w:val="2"/>
    </w:pPr>
    <w:rPr>
      <w:rFonts w:ascii="Verdana" w:hAnsi="Verdana" w:cs="Arial"/>
      <w:b/>
      <w:bCs/>
      <w:sz w:val="20"/>
    </w:rPr>
  </w:style>
  <w:style w:type="paragraph" w:styleId="Heading4">
    <w:name w:val="Heading 4"/>
    <w:basedOn w:val="Normal"/>
    <w:next w:val="Normal"/>
    <w:qFormat/>
    <w:pPr>
      <w:keepNext w:val="true"/>
      <w:numPr>
        <w:ilvl w:val="3"/>
        <w:numId w:val="1"/>
      </w:numPr>
      <w:jc w:val="center"/>
      <w:outlineLvl w:val="3"/>
    </w:pPr>
    <w:rPr>
      <w:rFonts w:ascii="Verdana" w:hAnsi="Verdana" w:cs="Arial"/>
      <w:b/>
      <w:bCs/>
      <w:sz w:val="32"/>
      <w:u w:val="single"/>
    </w:rPr>
  </w:style>
  <w:style w:type="character" w:styleId="WW8Num2z0">
    <w:name w:val="WW8Num2z0"/>
    <w:qFormat/>
    <w:rPr/>
  </w:style>
  <w:style w:type="character" w:styleId="WW8Num2z1">
    <w:name w:val="WW8Num2z1"/>
    <w:qFormat/>
    <w:rPr>
      <w:b w:val="false"/>
      <w:bCs w:val="false"/>
    </w:rPr>
  </w:style>
  <w:style w:type="character" w:styleId="WW8Num3z0">
    <w:name w:val="WW8Num3z0"/>
    <w:qFormat/>
    <w:rPr/>
  </w:style>
  <w:style w:type="character" w:styleId="WW8Num4z0">
    <w:name w:val="WW8Num4z0"/>
    <w:qFormat/>
    <w:rPr/>
  </w:style>
  <w:style w:type="character" w:styleId="WW8Num5z0">
    <w:name w:val="WW8Num5z0"/>
    <w:qFormat/>
    <w:rPr>
      <w:b/>
    </w:rPr>
  </w:style>
  <w:style w:type="character" w:styleId="WW8Num7z0">
    <w:name w:val="WW8Num7z0"/>
    <w:qFormat/>
    <w:rPr>
      <w:rFonts w:ascii="Symbol" w:hAnsi="Symbol" w:cs="Symbol"/>
      <w:sz w:val="22"/>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10z0">
    <w:name w:val="WW8Num10z0"/>
    <w:qFormat/>
    <w:rPr>
      <w:rFonts w:cs="Arial"/>
      <w:color w:val="000000"/>
    </w:rPr>
  </w:style>
  <w:style w:type="character" w:styleId="WW8Num11z0">
    <w:name w:val="WW8Num11z0"/>
    <w:qFormat/>
    <w:rPr>
      <w:b w:val="false"/>
      <w:bCs/>
    </w:rPr>
  </w:style>
  <w:style w:type="character" w:styleId="WW8Num14z0">
    <w:name w:val="WW8Num14z0"/>
    <w:qFormat/>
    <w:rPr/>
  </w:style>
  <w:style w:type="character" w:styleId="WW8Num16z0">
    <w:name w:val="WW8Num16z0"/>
    <w:qFormat/>
    <w:rPr>
      <w:b w:val="false"/>
    </w:rPr>
  </w:style>
  <w:style w:type="character" w:styleId="WW8Num17z1">
    <w:name w:val="WW8Num17z1"/>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cs="Arial"/>
      <w:b w:val="false"/>
      <w:color w:val="000000"/>
    </w:rPr>
  </w:style>
  <w:style w:type="character" w:styleId="WW8Num23z1">
    <w:name w:val="WW8Num23z1"/>
    <w:qFormat/>
    <w:rPr>
      <w:rFonts w:cs="Arial"/>
      <w:b w:val="false"/>
      <w:bCs/>
      <w:color w:val="000000"/>
    </w:rPr>
  </w:style>
  <w:style w:type="character" w:styleId="WW8Num24z0">
    <w:name w:val="WW8Num24z0"/>
    <w:qFormat/>
    <w:rPr/>
  </w:style>
  <w:style w:type="character" w:styleId="WW8Num26z0">
    <w:name w:val="WW8Num26z0"/>
    <w:qFormat/>
    <w:rPr>
      <w:b/>
      <w:bCs w:val="false"/>
    </w:rPr>
  </w:style>
  <w:style w:type="character" w:styleId="WW8Num27z0">
    <w:name w:val="WW8Num27z0"/>
    <w:qFormat/>
    <w:rPr/>
  </w:style>
  <w:style w:type="character" w:styleId="WW8Num28z0">
    <w:name w:val="WW8Num28z0"/>
    <w:qFormat/>
    <w:rPr/>
  </w:style>
  <w:style w:type="character" w:styleId="Fontepargpadro">
    <w:name w:val="Fonte parág. padrão"/>
    <w:qFormat/>
    <w:rPr/>
  </w:style>
  <w:style w:type="character" w:styleId="CabealhoChar">
    <w:name w:val="Cabeçalho Char"/>
    <w:qFormat/>
    <w:rPr>
      <w:sz w:val="24"/>
      <w:szCs w:val="24"/>
    </w:rPr>
  </w:style>
  <w:style w:type="character" w:styleId="RodapChar">
    <w:name w:val="Rodapé Char"/>
    <w:qFormat/>
    <w:rPr>
      <w:sz w:val="24"/>
      <w:szCs w:val="24"/>
    </w:rPr>
  </w:style>
  <w:style w:type="character" w:styleId="TextodebaloChar">
    <w:name w:val="Texto de balão Char"/>
    <w:qFormat/>
    <w:rPr>
      <w:rFonts w:ascii="Tahoma" w:hAnsi="Tahoma" w:cs="Tahoma"/>
      <w:sz w:val="16"/>
      <w:szCs w:val="16"/>
    </w:rPr>
  </w:style>
  <w:style w:type="character" w:styleId="apple-converted-space">
    <w:name w:val="apple-converted-space"/>
    <w:basedOn w:val="Fontepargpadro"/>
    <w:qFormat/>
    <w:rPr/>
  </w:style>
  <w:style w:type="character" w:styleId="Refdecomentrio">
    <w:name w:val="Ref. de comentário"/>
    <w:qFormat/>
    <w:rPr>
      <w:sz w:val="16"/>
      <w:szCs w:val="16"/>
    </w:rPr>
  </w:style>
  <w:style w:type="character" w:styleId="TextodecomentrioChar">
    <w:name w:val="Texto de comentário Char"/>
    <w:basedOn w:val="Fontepargpadro"/>
    <w:qFormat/>
    <w:rPr/>
  </w:style>
  <w:style w:type="character" w:styleId="AssuntodocomentrioChar">
    <w:name w:val="Assunto do comentário Char"/>
    <w:qFormat/>
    <w:rPr>
      <w:b/>
      <w:bCs/>
    </w:rPr>
  </w:style>
  <w:style w:type="character" w:styleId="small">
    <w:name w:val="small"/>
    <w:qFormat/>
    <w:rPr/>
  </w:style>
  <w:style w:type="paragraph" w:styleId="Heading">
    <w:name w:val="Heading"/>
    <w:basedOn w:val="Normal"/>
    <w:next w:val="BodyText"/>
    <w:qFormat/>
    <w:pPr>
      <w:jc w:val="center"/>
    </w:pPr>
    <w:rPr>
      <w:rFonts w:ascii="Arial" w:hAnsi="Arial" w:cs="Arial"/>
      <w:b/>
      <w:bCs/>
      <w:color w:val="000066"/>
      <w:sz w:val="36"/>
      <w:szCs w:val="26"/>
    </w:rPr>
  </w:style>
  <w:style w:type="paragraph" w:styleId="BodyText">
    <w:name w:val="Body Text"/>
    <w:basedOn w:val="Normal"/>
    <w:pPr/>
    <w:rPr>
      <w:rFonts w:ascii="Arial" w:hAnsi="Arial" w:cs="Arial"/>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rpodetexto2">
    <w:name w:val="Corpo de texto 2"/>
    <w:basedOn w:val="Normal"/>
    <w:qFormat/>
    <w:pPr>
      <w:jc w:val="both"/>
    </w:pPr>
    <w:rPr>
      <w:rFonts w:ascii="Arial" w:hAnsi="Arial" w:cs="Arial"/>
      <w:bCs/>
      <w:sz w:val="20"/>
    </w:rPr>
  </w:style>
  <w:style w:type="paragraph" w:styleId="Corpodetexto3">
    <w:name w:val="Corpo de texto 3"/>
    <w:basedOn w:val="Normal"/>
    <w:qFormat/>
    <w:pPr>
      <w:jc w:val="both"/>
    </w:pPr>
    <w:rPr>
      <w:rFonts w:ascii="Arial" w:hAnsi="Arial" w:cs="Arial"/>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PargrafodaLista">
    <w:name w:val="Parágrafo da Lista"/>
    <w:basedOn w:val="Normal"/>
    <w:qFormat/>
    <w:pPr>
      <w:spacing w:before="0" w:after="0"/>
      <w:ind w:hanging="0" w:start="720" w:end="0"/>
      <w:contextualSpacing/>
    </w:pPr>
    <w:rPr/>
  </w:style>
  <w:style w:type="paragraph" w:styleId="Textodebalo">
    <w:name w:val="Texto de balão"/>
    <w:basedOn w:val="Normal"/>
    <w:qFormat/>
    <w:pPr/>
    <w:rPr>
      <w:rFonts w:ascii="Tahoma" w:hAnsi="Tahoma" w:cs="Tahoma"/>
      <w:sz w:val="16"/>
      <w:szCs w:val="16"/>
    </w:rPr>
  </w:style>
  <w:style w:type="paragraph" w:styleId="NormalWeb">
    <w:name w:val="Normal (Web)"/>
    <w:basedOn w:val="Normal"/>
    <w:qFormat/>
    <w:pPr>
      <w:spacing w:before="280" w:after="280"/>
    </w:pPr>
    <w:rPr/>
  </w:style>
  <w:style w:type="paragraph" w:styleId="Textodecomentrio">
    <w:name w:val="Texto de comentário"/>
    <w:basedOn w:val="Normal"/>
    <w:qFormat/>
    <w:pPr/>
    <w:rPr>
      <w:sz w:val="20"/>
      <w:szCs w:val="20"/>
    </w:rPr>
  </w:style>
  <w:style w:type="paragraph" w:styleId="Assuntodocomentrio">
    <w:name w:val="Assunto do comentário"/>
    <w:basedOn w:val="Textodecomentrio"/>
    <w:next w:val="Textodecomentrio"/>
    <w:qFormat/>
    <w:pPr/>
    <w:rPr>
      <w:b/>
      <w:bCs/>
    </w:rPr>
  </w:style>
  <w:style w:type="paragraph" w:styleId="CartaPPP">
    <w:name w:val="Carta PPP"/>
    <w:basedOn w:val="Normal"/>
    <w:qFormat/>
    <w:pPr>
      <w:widowControl w:val="false"/>
      <w:tabs>
        <w:tab w:val="clear" w:pos="708"/>
        <w:tab w:val="left" w:pos="2835" w:leader="none"/>
      </w:tabs>
      <w:suppressAutoHyphens w:val="true"/>
      <w:spacing w:lineRule="atLeast" w:line="360"/>
      <w:jc w:val="both"/>
    </w:pPr>
    <w:rPr>
      <w:rFonts w:ascii="Arial Narrow" w:hAnsi="Arial Narrow" w:eastAsia="Lucida Sans Unicode" w:cs="Arial Narrow"/>
      <w:sz w:val="26"/>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2022-12-08T13:56:00Z</dcterms:created>
  <dc:creator>Sindeprestem</dc:creator>
  <dc:description/>
  <cp:keywords/>
  <dc:language>en-US</dc:language>
  <cp:lastModifiedBy>Juridico sem uso</cp:lastModifiedBy>
  <cp:lastPrinted>2011-07-12T11:10:00Z</cp:lastPrinted>
  <dcterms:modified xsi:type="dcterms:W3CDTF">2024-04-05T14:51:00Z</dcterms:modified>
  <cp:revision>3</cp:revision>
  <dc:subject/>
  <dc:title/>
</cp:coreProperties>
</file>