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83C7E">
        <w:rPr>
          <w:b/>
          <w:bCs/>
          <w:sz w:val="40"/>
          <w:szCs w:val="40"/>
        </w:rPr>
        <w:t xml:space="preserve">ADAMO CONSUL </w:t>
      </w:r>
    </w:p>
    <w:p w:rsidR="0087466A" w:rsidRDefault="00B83C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MILITÃO DE ALMEIDA, 1525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B83C7E">
        <w:rPr>
          <w:b/>
          <w:bCs/>
          <w:sz w:val="40"/>
          <w:szCs w:val="40"/>
        </w:rPr>
        <w:t xml:space="preserve"> SÃO JOSÉ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83C7E">
        <w:rPr>
          <w:b/>
          <w:bCs/>
          <w:sz w:val="40"/>
          <w:szCs w:val="40"/>
        </w:rPr>
        <w:t>TRAMANDAÍ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83C7E">
        <w:rPr>
          <w:b/>
          <w:bCs/>
          <w:sz w:val="40"/>
          <w:szCs w:val="40"/>
        </w:rPr>
        <w:t>95.590-000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83C7E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2022-12-08T02:48:00Z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