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412CD">
        <w:rPr>
          <w:b/>
          <w:bCs/>
          <w:sz w:val="40"/>
          <w:szCs w:val="40"/>
        </w:rPr>
        <w:t xml:space="preserve">AIRTONS TIMÓTEO DA COSTA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412CD">
        <w:rPr>
          <w:b/>
          <w:bCs/>
          <w:sz w:val="40"/>
          <w:szCs w:val="40"/>
        </w:rPr>
        <w:t>PERCIVAL LISBOA, 85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412CD">
        <w:rPr>
          <w:b/>
          <w:bCs/>
          <w:sz w:val="40"/>
          <w:szCs w:val="40"/>
        </w:rPr>
        <w:t>VILA OLIMPICA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412CD">
        <w:rPr>
          <w:b/>
          <w:bCs/>
          <w:sz w:val="40"/>
          <w:szCs w:val="40"/>
        </w:rPr>
        <w:t>ESTEIO -RS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412CD">
        <w:rPr>
          <w:b/>
          <w:bCs/>
          <w:sz w:val="40"/>
          <w:szCs w:val="40"/>
        </w:rPr>
        <w:t>93.285-610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412C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2023-03-27T17:03:00Z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