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93C5B">
        <w:rPr>
          <w:b/>
          <w:bCs/>
          <w:sz w:val="40"/>
          <w:szCs w:val="40"/>
        </w:rPr>
        <w:t>ALCIDES DE SOUZA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93C5B">
        <w:rPr>
          <w:b/>
          <w:bCs/>
          <w:sz w:val="40"/>
          <w:szCs w:val="40"/>
        </w:rPr>
        <w:t>JOAQUIM OIVEIRA WALTRIF, 62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E93C5B">
        <w:rPr>
          <w:b/>
          <w:bCs/>
          <w:sz w:val="40"/>
          <w:szCs w:val="40"/>
        </w:rPr>
        <w:t>SANTA RITA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93C5B">
        <w:rPr>
          <w:b/>
          <w:bCs/>
          <w:sz w:val="40"/>
          <w:szCs w:val="40"/>
        </w:rPr>
        <w:t>LAGES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93C5B">
        <w:rPr>
          <w:b/>
          <w:bCs/>
          <w:sz w:val="40"/>
          <w:szCs w:val="40"/>
        </w:rPr>
        <w:t>88.503-000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93C5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