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4029B">
        <w:rPr>
          <w:b/>
          <w:bCs/>
          <w:sz w:val="40"/>
          <w:szCs w:val="40"/>
        </w:rPr>
        <w:t>ALESSANDRO LEITES ASSIS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4029B">
        <w:rPr>
          <w:b/>
          <w:bCs/>
          <w:sz w:val="40"/>
          <w:szCs w:val="40"/>
        </w:rPr>
        <w:t>VERONICA REMEDI CRUZ, 347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4029B">
        <w:rPr>
          <w:b/>
          <w:bCs/>
          <w:sz w:val="40"/>
          <w:szCs w:val="40"/>
        </w:rPr>
        <w:t>WILSON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4029B">
        <w:rPr>
          <w:b/>
          <w:bCs/>
          <w:sz w:val="40"/>
          <w:szCs w:val="40"/>
        </w:rPr>
        <w:t>SANTANA DO LIVRAMENTO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4029B">
        <w:rPr>
          <w:b/>
          <w:bCs/>
          <w:sz w:val="40"/>
          <w:szCs w:val="40"/>
        </w:rPr>
        <w:t>97.578-700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4029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