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5396D">
        <w:rPr>
          <w:b/>
          <w:bCs/>
          <w:sz w:val="40"/>
          <w:szCs w:val="40"/>
        </w:rPr>
        <w:t>ALESSANDRO PIANTAVINI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5396D">
        <w:rPr>
          <w:b/>
          <w:bCs/>
          <w:sz w:val="40"/>
          <w:szCs w:val="40"/>
        </w:rPr>
        <w:t>PEDRO LESSA, 618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5396D">
        <w:rPr>
          <w:b/>
          <w:bCs/>
          <w:sz w:val="40"/>
          <w:szCs w:val="40"/>
        </w:rPr>
        <w:t xml:space="preserve">BOA VISTA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5396D">
        <w:rPr>
          <w:b/>
          <w:bCs/>
          <w:sz w:val="40"/>
          <w:szCs w:val="40"/>
        </w:rPr>
        <w:t>JOINVILLE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5396D">
        <w:rPr>
          <w:b/>
          <w:bCs/>
          <w:sz w:val="40"/>
          <w:szCs w:val="40"/>
        </w:rPr>
        <w:t>89.205-500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5396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2023-09-19T18:02:00Z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