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2061EE">
        <w:rPr>
          <w:b/>
          <w:bCs/>
          <w:sz w:val="40"/>
          <w:szCs w:val="40"/>
        </w:rPr>
        <w:t xml:space="preserve">ANTÔNIO MARCOS DA SILVA CARDOSO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061EE">
        <w:rPr>
          <w:b/>
          <w:bCs/>
          <w:sz w:val="40"/>
          <w:szCs w:val="40"/>
        </w:rPr>
        <w:t>SILVESTRE CORREA, 265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2061EE">
        <w:rPr>
          <w:b/>
          <w:bCs/>
          <w:sz w:val="40"/>
          <w:szCs w:val="40"/>
        </w:rPr>
        <w:t xml:space="preserve">MARIANO DA ROCHA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061EE">
        <w:rPr>
          <w:b/>
          <w:bCs/>
          <w:sz w:val="40"/>
          <w:szCs w:val="40"/>
        </w:rPr>
        <w:t>ENCRUZILHADA DO SUL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061EE">
        <w:rPr>
          <w:b/>
          <w:bCs/>
          <w:sz w:val="40"/>
          <w:szCs w:val="40"/>
        </w:rPr>
        <w:t>96.610-000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061EE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2022-08-16T09:59:00Z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