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CC46B1">
        <w:rPr>
          <w:b/>
          <w:bCs/>
          <w:sz w:val="40"/>
          <w:szCs w:val="40"/>
        </w:rPr>
        <w:t>ANTÔNIO MARCOS PEREIRA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C46B1">
        <w:rPr>
          <w:b/>
          <w:bCs/>
          <w:sz w:val="40"/>
          <w:szCs w:val="40"/>
        </w:rPr>
        <w:t>PADRE RODOLFO KOMORECK, 142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CC46B1">
        <w:rPr>
          <w:b/>
          <w:bCs/>
          <w:sz w:val="40"/>
          <w:szCs w:val="40"/>
        </w:rPr>
        <w:t xml:space="preserve"> VILA BIONDI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C46B1">
        <w:rPr>
          <w:b/>
          <w:bCs/>
          <w:sz w:val="40"/>
          <w:szCs w:val="40"/>
        </w:rPr>
        <w:t xml:space="preserve">CRUZEIRO – SP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C46B1">
        <w:rPr>
          <w:b/>
          <w:bCs/>
          <w:sz w:val="40"/>
          <w:szCs w:val="40"/>
        </w:rPr>
        <w:t>12.720-300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C46B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2022-12-27T14:47:00Z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