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BD1518">
        <w:rPr>
          <w:b/>
          <w:bCs/>
          <w:sz w:val="40"/>
          <w:szCs w:val="40"/>
        </w:rPr>
        <w:t>DENILSOM ELLIAS APARECIDO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BD1518">
        <w:rPr>
          <w:b/>
          <w:bCs/>
          <w:sz w:val="40"/>
          <w:szCs w:val="40"/>
        </w:rPr>
        <w:t>ITAPORANGA, 201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BD1518">
        <w:rPr>
          <w:b/>
          <w:bCs/>
          <w:sz w:val="40"/>
          <w:szCs w:val="40"/>
        </w:rPr>
        <w:t>PARQUE IND. JURUMIRIM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D1518">
        <w:rPr>
          <w:b/>
          <w:bCs/>
          <w:sz w:val="40"/>
          <w:szCs w:val="40"/>
        </w:rPr>
        <w:t>AVARÉ - SP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D1518">
        <w:rPr>
          <w:b/>
          <w:bCs/>
          <w:sz w:val="40"/>
          <w:szCs w:val="40"/>
        </w:rPr>
        <w:t>18.704-080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1518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</Words>
  <Characters>186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2023-03-03T22:57:00Z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