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B4874">
        <w:rPr>
          <w:b/>
          <w:bCs/>
          <w:sz w:val="40"/>
          <w:szCs w:val="40"/>
        </w:rPr>
        <w:t>EMANUEL MATEUS GONÇALVES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B4874">
        <w:rPr>
          <w:b/>
          <w:bCs/>
          <w:sz w:val="40"/>
          <w:szCs w:val="40"/>
        </w:rPr>
        <w:t>RIO CAMPIM, S/Nº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B4874">
        <w:rPr>
          <w:b/>
          <w:bCs/>
          <w:sz w:val="40"/>
          <w:szCs w:val="40"/>
        </w:rPr>
        <w:t xml:space="preserve">CACHOEIRA DA SERRA </w:t>
      </w:r>
    </w:p>
    <w:p w:rsidR="003B4874" w:rsidRDefault="003B48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DSITR. DE ALTAMIRA</w:t>
      </w:r>
    </w:p>
    <w:p w:rsidR="0087466A" w:rsidRDefault="003B48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CASTELO DOS SONHOS - PA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B4874">
        <w:rPr>
          <w:b/>
          <w:bCs/>
          <w:sz w:val="40"/>
          <w:szCs w:val="40"/>
        </w:rPr>
        <w:t>68.379-200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B4874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2023-03-14T14:45:00Z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