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060D2">
        <w:rPr>
          <w:b/>
          <w:bCs/>
          <w:sz w:val="40"/>
          <w:szCs w:val="40"/>
        </w:rPr>
        <w:t>FABIO NUNES GONÇALVES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060D2">
        <w:rPr>
          <w:b/>
          <w:bCs/>
          <w:sz w:val="40"/>
          <w:szCs w:val="40"/>
        </w:rPr>
        <w:t>SERGIPE, 202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060D2">
        <w:rPr>
          <w:b/>
          <w:bCs/>
          <w:sz w:val="40"/>
          <w:szCs w:val="40"/>
        </w:rPr>
        <w:t>SÃO FRANCISCO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060D2">
        <w:rPr>
          <w:b/>
          <w:bCs/>
          <w:sz w:val="40"/>
          <w:szCs w:val="40"/>
        </w:rPr>
        <w:t>BURITIZEIRO - MG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060D2">
        <w:rPr>
          <w:b/>
          <w:bCs/>
          <w:sz w:val="40"/>
          <w:szCs w:val="40"/>
        </w:rPr>
        <w:t>39.280-000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060D2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2023-03-14T19:36:00Z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