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24689C">
        <w:rPr>
          <w:b/>
          <w:bCs/>
          <w:sz w:val="40"/>
          <w:szCs w:val="40"/>
        </w:rPr>
        <w:t>LUCIANA CORTINA</w:t>
      </w:r>
    </w:p>
    <w:p w:rsidR="0087466A" w:rsidRDefault="002468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PASSO DO BURMAN, Nº 0</w:t>
      </w:r>
    </w:p>
    <w:p w:rsidR="0087466A" w:rsidRDefault="002468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ZONA RURAL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4689C">
        <w:rPr>
          <w:b/>
          <w:bCs/>
          <w:sz w:val="40"/>
          <w:szCs w:val="40"/>
        </w:rPr>
        <w:t>CATUÍPE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4689C">
        <w:rPr>
          <w:b/>
          <w:bCs/>
          <w:sz w:val="40"/>
          <w:szCs w:val="40"/>
        </w:rPr>
        <w:t>98.770-000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4689C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</Words>
  <Characters>164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2022-10-27T17:27:00Z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