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2323E">
        <w:rPr>
          <w:b/>
          <w:bCs/>
          <w:sz w:val="40"/>
          <w:szCs w:val="40"/>
        </w:rPr>
        <w:t xml:space="preserve">JONAS ALENCAR PEREIRA SILVEIRA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2323E">
        <w:rPr>
          <w:b/>
          <w:bCs/>
          <w:sz w:val="40"/>
          <w:szCs w:val="40"/>
        </w:rPr>
        <w:t>MUTIRÃO, QD. 61, CASA 54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2323E">
        <w:rPr>
          <w:b/>
          <w:bCs/>
          <w:sz w:val="40"/>
          <w:szCs w:val="40"/>
        </w:rPr>
        <w:t>PROMORAR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2323E">
        <w:rPr>
          <w:b/>
          <w:bCs/>
          <w:sz w:val="40"/>
          <w:szCs w:val="40"/>
        </w:rPr>
        <w:t>ITAQUI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2323E">
        <w:rPr>
          <w:b/>
          <w:bCs/>
          <w:sz w:val="40"/>
          <w:szCs w:val="40"/>
        </w:rPr>
        <w:t>97.650-000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2323E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2023-10-03T12:30:00Z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