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533CD2">
        <w:rPr>
          <w:b/>
          <w:sz w:val="40"/>
          <w:szCs w:val="40"/>
        </w:rPr>
        <w:t>LEANDRO ROBINSON GONLÇALVES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Rua DR. HELIO PEREIRA VIEGAS, 45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VILA ARGILES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SANTANA DO LIVRAMENTO</w:t>
      </w:r>
      <w:r w:rsidR="002955F6">
        <w:rPr>
          <w:b/>
          <w:sz w:val="40"/>
          <w:szCs w:val="40"/>
        </w:rPr>
        <w:t xml:space="preserve"> –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533CD2">
        <w:rPr>
          <w:b/>
          <w:sz w:val="40"/>
          <w:szCs w:val="40"/>
        </w:rPr>
        <w:t xml:space="preserve">                  CEP 97.577-300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40D98"/>
    <w:rsid w:val="002955F6"/>
    <w:rsid w:val="00457406"/>
    <w:rsid w:val="00533CD2"/>
    <w:rsid w:val="0063546E"/>
    <w:rsid w:val="006F5DDB"/>
    <w:rsid w:val="00944F77"/>
    <w:rsid w:val="00947DCC"/>
    <w:rsid w:val="00957D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327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2018-10-21T18:43:00Z</dcterms:modified>
</cp:coreProperties>
</file>