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116E7">
        <w:rPr>
          <w:b/>
          <w:bCs/>
          <w:sz w:val="40"/>
          <w:szCs w:val="40"/>
        </w:rPr>
        <w:t>LUIZ ALBERTO TEIXEIRA FAMFA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116E7">
        <w:rPr>
          <w:b/>
          <w:bCs/>
          <w:sz w:val="40"/>
          <w:szCs w:val="40"/>
        </w:rPr>
        <w:t>ANTÔNIO MARIA CORREA, 87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8116E7">
        <w:rPr>
          <w:b/>
          <w:bCs/>
          <w:sz w:val="40"/>
          <w:szCs w:val="40"/>
        </w:rPr>
        <w:t>BOA VISTA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116E7">
        <w:rPr>
          <w:b/>
          <w:bCs/>
          <w:sz w:val="40"/>
          <w:szCs w:val="40"/>
        </w:rPr>
        <w:t>RIO PARDO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116E7">
        <w:rPr>
          <w:b/>
          <w:bCs/>
          <w:sz w:val="40"/>
          <w:szCs w:val="40"/>
        </w:rPr>
        <w:t>96.640-000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116E7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2022-08-16T10:49:00Z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