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B6776">
        <w:rPr>
          <w:b/>
          <w:bCs/>
          <w:sz w:val="40"/>
          <w:szCs w:val="40"/>
        </w:rPr>
        <w:t>MICHELE CARDOSO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B6776">
        <w:rPr>
          <w:b/>
          <w:bCs/>
          <w:sz w:val="40"/>
          <w:szCs w:val="40"/>
        </w:rPr>
        <w:t>FELIPE DOS SANTOS, 313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B6776">
        <w:rPr>
          <w:b/>
          <w:bCs/>
          <w:sz w:val="40"/>
          <w:szCs w:val="40"/>
        </w:rPr>
        <w:t xml:space="preserve">IMPERIAL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B6776">
        <w:rPr>
          <w:b/>
          <w:bCs/>
          <w:sz w:val="40"/>
          <w:szCs w:val="40"/>
        </w:rPr>
        <w:t>VACARIA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B6776">
        <w:rPr>
          <w:b/>
          <w:bCs/>
          <w:sz w:val="40"/>
          <w:szCs w:val="40"/>
        </w:rPr>
        <w:t>95.200-528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B6776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2023-03-30T10:37:00Z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