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050EF">
        <w:rPr>
          <w:b/>
          <w:bCs/>
          <w:sz w:val="40"/>
          <w:szCs w:val="40"/>
        </w:rPr>
        <w:t xml:space="preserve">OZIEL FRANCISCO DOS REIS </w:t>
      </w:r>
    </w:p>
    <w:p w:rsidR="0087466A" w:rsidRDefault="000050E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11, QUADRA 5, LOTE 12, Nº 317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050EF">
        <w:rPr>
          <w:b/>
          <w:bCs/>
          <w:sz w:val="40"/>
          <w:szCs w:val="40"/>
        </w:rPr>
        <w:t>SETOR MARISTA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050EF">
        <w:rPr>
          <w:b/>
          <w:bCs/>
          <w:sz w:val="40"/>
          <w:szCs w:val="40"/>
        </w:rPr>
        <w:t>ARAGUAPAZ - GO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050EF">
        <w:rPr>
          <w:b/>
          <w:bCs/>
          <w:sz w:val="40"/>
          <w:szCs w:val="40"/>
        </w:rPr>
        <w:t>76.720-000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050EF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2023-04-01T00:21:00Z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