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A7531">
        <w:rPr>
          <w:b/>
          <w:bCs/>
          <w:sz w:val="40"/>
          <w:szCs w:val="40"/>
        </w:rPr>
        <w:t>PAULO BERNARDO BASOTI DE OLIVEIRA</w:t>
      </w:r>
    </w:p>
    <w:p w:rsidR="007A7531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A7531">
        <w:rPr>
          <w:b/>
          <w:bCs/>
          <w:sz w:val="40"/>
          <w:szCs w:val="40"/>
        </w:rPr>
        <w:t>FEITORIA, 5800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A7531">
        <w:rPr>
          <w:b/>
          <w:bCs/>
          <w:sz w:val="40"/>
          <w:szCs w:val="40"/>
        </w:rPr>
        <w:t>FEITORIA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A7531">
        <w:rPr>
          <w:b/>
          <w:bCs/>
          <w:sz w:val="40"/>
          <w:szCs w:val="40"/>
        </w:rPr>
        <w:t>SÃO LEOPOLDO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A7531">
        <w:rPr>
          <w:b/>
          <w:bCs/>
          <w:sz w:val="40"/>
          <w:szCs w:val="40"/>
        </w:rPr>
        <w:t>93.055-000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A7531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2023-02-24T19:39:00Z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