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2A3C25">
        <w:rPr>
          <w:b/>
          <w:bCs/>
          <w:sz w:val="40"/>
          <w:szCs w:val="40"/>
        </w:rPr>
        <w:t>RAFAEL FRANCO NUNES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2A3C25">
        <w:rPr>
          <w:b/>
          <w:bCs/>
          <w:sz w:val="40"/>
          <w:szCs w:val="40"/>
        </w:rPr>
        <w:t>DOM PEDRO II, 1025</w:t>
      </w:r>
    </w:p>
    <w:p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2A3C25">
        <w:rPr>
          <w:b/>
          <w:bCs/>
          <w:sz w:val="40"/>
          <w:szCs w:val="40"/>
        </w:rPr>
        <w:t>ESTALEIRO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A3C25">
        <w:rPr>
          <w:b/>
          <w:bCs/>
          <w:sz w:val="40"/>
          <w:szCs w:val="40"/>
        </w:rPr>
        <w:t>TRIUMFO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2A3C25">
        <w:rPr>
          <w:b/>
          <w:bCs/>
          <w:sz w:val="40"/>
          <w:szCs w:val="40"/>
        </w:rPr>
        <w:t>95.840-000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2A3C25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32</Words>
  <Characters>175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2023-03-06T23:38:00Z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