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B6503">
        <w:rPr>
          <w:b/>
          <w:bCs/>
          <w:sz w:val="40"/>
          <w:szCs w:val="40"/>
        </w:rPr>
        <w:t>RAFAEL MONTEIRO ALVES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B6503">
        <w:rPr>
          <w:b/>
          <w:bCs/>
          <w:sz w:val="40"/>
          <w:szCs w:val="40"/>
        </w:rPr>
        <w:t>SERGIPE, 743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B6503">
        <w:rPr>
          <w:b/>
          <w:bCs/>
          <w:sz w:val="40"/>
          <w:szCs w:val="40"/>
        </w:rPr>
        <w:t>PETRÓPOLIS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B6503">
        <w:rPr>
          <w:b/>
          <w:bCs/>
          <w:sz w:val="40"/>
          <w:szCs w:val="40"/>
        </w:rPr>
        <w:t>VACARIA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B6503">
        <w:rPr>
          <w:b/>
          <w:bCs/>
          <w:sz w:val="40"/>
          <w:szCs w:val="40"/>
        </w:rPr>
        <w:t>95.211-119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B6503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2023-09-14T15:53:00Z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