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C0292">
        <w:rPr>
          <w:b/>
          <w:bCs/>
          <w:sz w:val="40"/>
          <w:szCs w:val="40"/>
        </w:rPr>
        <w:t>RENATO PAIZ ZAMBONIN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C0292">
        <w:rPr>
          <w:b/>
          <w:bCs/>
          <w:sz w:val="40"/>
          <w:szCs w:val="40"/>
        </w:rPr>
        <w:t>CARLOS BERTTI, 1781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C0292">
        <w:rPr>
          <w:b/>
          <w:bCs/>
          <w:sz w:val="40"/>
          <w:szCs w:val="40"/>
        </w:rPr>
        <w:t>SÃO JOSÉ OPERÁRIO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C0292">
        <w:rPr>
          <w:b/>
          <w:bCs/>
          <w:sz w:val="40"/>
          <w:szCs w:val="40"/>
        </w:rPr>
        <w:t>SANANDUVA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C0292">
        <w:rPr>
          <w:b/>
          <w:bCs/>
          <w:sz w:val="40"/>
          <w:szCs w:val="40"/>
        </w:rPr>
        <w:t>99.840-000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C0292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2023-04-25T17:08:00Z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