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00CCC">
        <w:rPr>
          <w:b/>
          <w:bCs/>
          <w:sz w:val="40"/>
          <w:szCs w:val="40"/>
        </w:rPr>
        <w:t>ROQUE LIDIANO HILGER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00CCC">
        <w:rPr>
          <w:b/>
          <w:bCs/>
          <w:sz w:val="40"/>
          <w:szCs w:val="40"/>
        </w:rPr>
        <w:t xml:space="preserve">SEPE TIARAJU, 30 </w:t>
      </w:r>
    </w:p>
    <w:p w:rsidR="00044292" w:rsidRDefault="00100C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00CCC">
        <w:rPr>
          <w:b/>
          <w:bCs/>
          <w:sz w:val="40"/>
          <w:szCs w:val="40"/>
        </w:rPr>
        <w:t>BRAGA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00CCC">
        <w:rPr>
          <w:b/>
          <w:bCs/>
          <w:sz w:val="40"/>
          <w:szCs w:val="40"/>
        </w:rPr>
        <w:t>98.560-000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00CCC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