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66DD4">
        <w:rPr>
          <w:b/>
          <w:bCs/>
          <w:sz w:val="40"/>
          <w:szCs w:val="40"/>
        </w:rPr>
        <w:t>MOISES HERMINIO CECHELLA</w:t>
      </w:r>
    </w:p>
    <w:p w:rsidR="0087466A" w:rsidRDefault="00866DD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</w:t>
      </w:r>
      <w:bookmarkStart w:id="0" w:name="_GoBack"/>
      <w:bookmarkEnd w:id="0"/>
      <w:r>
        <w:rPr>
          <w:b/>
          <w:bCs/>
          <w:sz w:val="40"/>
          <w:szCs w:val="40"/>
        </w:rPr>
        <w:t>O COMÉRCIO, 1385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866DD4">
        <w:rPr>
          <w:b/>
          <w:bCs/>
          <w:sz w:val="40"/>
          <w:szCs w:val="40"/>
        </w:rPr>
        <w:t xml:space="preserve"> SANTA TEREZINHA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66DD4">
        <w:rPr>
          <w:b/>
          <w:bCs/>
          <w:sz w:val="40"/>
          <w:szCs w:val="40"/>
        </w:rPr>
        <w:t>CONDOR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66DD4">
        <w:rPr>
          <w:b/>
          <w:bCs/>
          <w:sz w:val="40"/>
          <w:szCs w:val="40"/>
        </w:rPr>
        <w:t>98.290-000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66DD4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2023-01-30T09:56:00Z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