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>
        <w:rPr>
          <w:b/>
          <w:sz w:val="40"/>
          <w:szCs w:val="40"/>
        </w:rPr>
        <w:t>VICENTE DONIZETE DE SOUZA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GERONCIO GONSALVES, 590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Bairro NOSSA SENHORA DE FATIMA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PATOS DE MINAS – MG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38.701-626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60"/>
  <w:proofState w:spelling="clean" w:grammar="clean"/>
  <w:defaultTabStop w:val="708"/>
  <w:hyphenationZone w:val="425"/>
  <w:characterSpacingControl w:val="doNotCompress"/>
  <w:compat/>
  <w:rsids>
    <w:rsidRoot w:val="00957DC0"/>
    <w:rsid w:val="000B0D6D"/>
    <w:rsid w:val="00957D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49</Words>
  <Characters>269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cp:lastPrinted>2018-03-12T13:34:00Z</cp:lastPrinted>
  <dcterms:created xsi:type="dcterms:W3CDTF">2018-03-12T13:29:00Z</dcterms:created>
  <dcterms:modified xsi:type="dcterms:W3CDTF">2018-03-12T13:35:00Z</dcterms:modified>
</cp:coreProperties>
</file>