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A7A28">
        <w:rPr>
          <w:b/>
          <w:bCs/>
          <w:sz w:val="40"/>
          <w:szCs w:val="40"/>
        </w:rPr>
        <w:t>VOLNEI DA SILVA PIRES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A7A28">
        <w:rPr>
          <w:b/>
          <w:bCs/>
          <w:sz w:val="40"/>
          <w:szCs w:val="40"/>
        </w:rPr>
        <w:t>MARCIANO RODRIGUES FROES, 6051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A7A28">
        <w:rPr>
          <w:b/>
          <w:bCs/>
          <w:sz w:val="40"/>
          <w:szCs w:val="40"/>
        </w:rPr>
        <w:t>SANTA CATARINA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A7A28">
        <w:rPr>
          <w:b/>
          <w:bCs/>
          <w:sz w:val="40"/>
          <w:szCs w:val="40"/>
        </w:rPr>
        <w:t>SANTO ANTÔNIO DAS MISSÕES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A7A28">
        <w:rPr>
          <w:b/>
          <w:bCs/>
          <w:sz w:val="40"/>
          <w:szCs w:val="40"/>
        </w:rPr>
        <w:t>97.870-000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A7A28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</Words>
  <Characters>206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2023-03-12T23:47:00Z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