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6744B5">
        <w:rPr>
          <w:b/>
          <w:bCs/>
          <w:sz w:val="40"/>
          <w:szCs w:val="40"/>
        </w:rPr>
        <w:t xml:space="preserve">WM COUROS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744B5">
        <w:rPr>
          <w:b/>
          <w:bCs/>
          <w:sz w:val="40"/>
          <w:szCs w:val="40"/>
        </w:rPr>
        <w:t>ZEFERINO DANIEL CASEIRO, 112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6744B5">
        <w:rPr>
          <w:b/>
          <w:bCs/>
          <w:sz w:val="40"/>
          <w:szCs w:val="40"/>
        </w:rPr>
        <w:t>JARDIM MARACANÃ</w:t>
      </w:r>
      <w:bookmarkStart w:id="0" w:name="_GoBack"/>
      <w:bookmarkEnd w:id="0"/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744B5">
        <w:rPr>
          <w:b/>
          <w:bCs/>
          <w:sz w:val="40"/>
          <w:szCs w:val="40"/>
        </w:rPr>
        <w:t>PRESIDENTE PRUDENTE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744B5">
        <w:rPr>
          <w:b/>
          <w:bCs/>
          <w:sz w:val="40"/>
          <w:szCs w:val="40"/>
        </w:rPr>
        <w:t>19.026-250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744B5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2022-08-16T10:56:00Z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