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 Risk Management Documentation</w:t>
      </w:r>
    </w:p>
    <w:p>
      <w:r>
        <w:t>Fictitious internal documentation for the Credit Loss Regression Model.</w:t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owner</w:t>
            </w:r>
          </w:p>
        </w:tc>
        <w:tc>
          <w:tcPr>
            <w:tcW w:type="dxa" w:w="4320"/>
          </w:tcPr>
          <w:p>
            <w:r>
              <w:t>Risk Analytics Team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Review date</w:t>
            </w:r>
          </w:p>
        </w:tc>
        <w:tc>
          <w:tcPr>
            <w:tcW w:type="dxa" w:w="4320"/>
          </w:tcPr>
          <w:p>
            <w:r>
              <w:t>2024-12-31</w:t>
            </w:r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>
              <w:t>Chief Risk Officer</w:t>
            </w:r>
          </w:p>
        </w:tc>
      </w:tr>
    </w:tbl>
    <w:p>
      <w:pPr>
        <w:pStyle w:val="Heading1"/>
      </w:pPr>
      <w:r>
        <w:t>[FILL][ID:purpose_scope] 1. Purpose and Scope</w:t>
      </w:r>
    </w:p>
    <w:p>
      <w:r>
        <w:t>This model estimates credit losses for consumer loans based on borrower income and credit utilization. It is intended for use in quarterly financial reporting and risk-based pricing decisions. Scope is limited to domestic consumer unsecured loans. Dependencies include the upstream data warehouse for feature inputs.</w:t>
      </w:r>
    </w:p>
    <w:p>
      <w:pPr>
        <w:pStyle w:val="Heading1"/>
      </w:pPr>
      <w:r>
        <w:t>2. Model Inventory and Risk Tiering [FILL]</w:t>
      </w:r>
    </w:p>
    <w:p>
      <w:r>
        <w:t>The model is registered in the enterprise model inventory under ID REG-2024-001. It is classified as Medium risk due to its financial impact but relatively simple methodology.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 ID</w:t>
            </w:r>
          </w:p>
        </w:tc>
        <w:tc>
          <w:tcPr>
            <w:tcW w:type="dxa" w:w="4320"/>
          </w:tcPr>
          <w:p>
            <w:r>
              <w:t>REG-2024-001</w:t>
            </w:r>
          </w:p>
        </w:tc>
      </w:tr>
      <w:tr>
        <w:tc>
          <w:tcPr>
            <w:tcW w:type="dxa" w:w="4320"/>
          </w:tcPr>
          <w:p>
            <w:r>
              <w:t>Model owner</w:t>
            </w:r>
          </w:p>
        </w:tc>
        <w:tc>
          <w:tcPr>
            <w:tcW w:type="dxa" w:w="4320"/>
          </w:tcPr>
          <w:p>
            <w:r>
              <w:t>Jane Doe (Risk Analytics)</w:t>
            </w:r>
          </w:p>
        </w:tc>
      </w:tr>
      <w:tr>
        <w:tc>
          <w:tcPr>
            <w:tcW w:type="dxa" w:w="4320"/>
          </w:tcPr>
          <w:p>
            <w:r>
              <w:t>Risk tier: high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  <w:tr>
        <w:tc>
          <w:tcPr>
            <w:tcW w:type="dxa" w:w="4320"/>
          </w:tcPr>
          <w:p>
            <w:r>
              <w:t>Risk tier: medium</w:t>
            </w:r>
          </w:p>
        </w:tc>
        <w:tc>
          <w:tcPr>
            <w:tcW w:type="dxa" w:w="4320"/>
          </w:tcPr>
          <w:p>
            <w:r>
              <w:t>[x]</w:t>
            </w:r>
          </w:p>
        </w:tc>
      </w:tr>
      <w:tr>
        <w:tc>
          <w:tcPr>
            <w:tcW w:type="dxa" w:w="4320"/>
          </w:tcPr>
          <w:p>
            <w:r>
              <w:t>Risk tier: low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</w:tbl>
    <w:p>
      <w:pPr>
        <w:pStyle w:val="Heading1"/>
      </w:pPr>
      <w:r>
        <w:t>[ID:model_development][FILL] 3. Development and Implementation</w:t>
      </w:r>
    </w:p>
    <w:p>
      <w:r>
        <w:t>Data lineage is tracked via the enterprise data catalog. Features are engineered from raw transaction data. Training pipeline is automated using `train.py` and `evaluate.py`. Deployment is containerized.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Control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Data quality checks</w:t>
            </w:r>
          </w:p>
        </w:tc>
        <w:tc>
          <w:tcPr>
            <w:tcW w:type="dxa" w:w="2880"/>
          </w:tcPr>
          <w:p>
            <w:r>
              <w:t>[x]</w:t>
            </w:r>
          </w:p>
        </w:tc>
        <w:tc>
          <w:tcPr>
            <w:tcW w:type="dxa" w:w="2880"/>
          </w:tcPr>
          <w:p>
            <w:r>
              <w:t>Automated schema validation in pipeline.</w:t>
            </w:r>
          </w:p>
        </w:tc>
      </w:tr>
      <w:tr>
        <w:tc>
          <w:tcPr>
            <w:tcW w:type="dxa" w:w="2880"/>
          </w:tcPr>
          <w:p>
            <w:r>
              <w:t>Code review</w:t>
            </w:r>
          </w:p>
        </w:tc>
        <w:tc>
          <w:tcPr>
            <w:tcW w:type="dxa" w:w="2880"/>
          </w:tcPr>
          <w:p>
            <w:r>
              <w:t>[x]</w:t>
            </w:r>
          </w:p>
        </w:tc>
        <w:tc>
          <w:tcPr>
            <w:tcW w:type="dxa" w:w="2880"/>
          </w:tcPr>
          <w:p>
            <w:r>
              <w:t>GitHub PR #123 approved by senior dev.</w:t>
            </w:r>
          </w:p>
        </w:tc>
      </w:tr>
      <w:tr>
        <w:tc>
          <w:tcPr>
            <w:tcW w:type="dxa" w:w="2880"/>
          </w:tcPr>
          <w:p>
            <w:r>
              <w:t>Reproducible training</w:t>
            </w:r>
          </w:p>
        </w:tc>
        <w:tc>
          <w:tcPr>
            <w:tcW w:type="dxa" w:w="2880"/>
          </w:tcPr>
          <w:p>
            <w:r>
              <w:t>[x]</w:t>
            </w:r>
          </w:p>
        </w:tc>
        <w:tc>
          <w:tcPr>
            <w:tcW w:type="dxa" w:w="2880"/>
          </w:tcPr>
          <w:p>
            <w:r>
              <w:t>Dockerized environment with pinned dependencies.</w:t>
            </w:r>
          </w:p>
        </w:tc>
      </w:tr>
      <w:tr>
        <w:tc>
          <w:tcPr>
            <w:tcW w:type="dxa" w:w="2880"/>
          </w:tcPr>
          <w:p>
            <w:r>
              <w:t>Change log maintained</w:t>
            </w:r>
          </w:p>
        </w:tc>
        <w:tc>
          <w:tcPr>
            <w:tcW w:type="dxa" w:w="2880"/>
          </w:tcPr>
          <w:p>
            <w:r>
              <w:t>[x]</w:t>
            </w:r>
          </w:p>
        </w:tc>
        <w:tc>
          <w:tcPr>
            <w:tcW w:type="dxa" w:w="2880"/>
          </w:tcPr>
          <w:p>
            <w:r>
              <w:t>CHANGELOG.md in repo.</w:t>
            </w:r>
          </w:p>
        </w:tc>
      </w:tr>
    </w:tbl>
    <w:p>
      <w:pPr>
        <w:pStyle w:val="Heading1"/>
      </w:pPr>
      <w:r>
        <w:t>[FILL][ID:model_performance] 4. Model Performance and Limitations</w:t>
      </w:r>
    </w:p>
    <w:p>
      <w:r>
        <w:t>The model demonstrates strong predictive power with an R2 of 0.79. MAE is within acceptable business limits ($300). Key limitation is the linear assumption which may underfit complex non-linear relationships.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 / Reference</w:t>
            </w:r>
          </w:p>
        </w:tc>
      </w:tr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252.07</w:t>
            </w:r>
          </w:p>
        </w:tc>
      </w:tr>
      <w:tr>
        <w:tc>
          <w:tcPr>
            <w:tcW w:type="dxa" w:w="4320"/>
          </w:tcPr>
          <w:p>
            <w:r>
              <w:t>RMSE</w:t>
            </w:r>
          </w:p>
        </w:tc>
        <w:tc>
          <w:tcPr>
            <w:tcW w:type="dxa" w:w="4320"/>
          </w:tcPr>
          <w:p>
            <w:r>
              <w:t>306.85</w:t>
            </w:r>
          </w:p>
        </w:tc>
      </w:tr>
      <w:tr>
        <w:tc>
          <w:tcPr>
            <w:tcW w:type="dxa" w:w="4320"/>
          </w:tcPr>
          <w:p>
            <w:r>
              <w:t>R2</w:t>
            </w:r>
          </w:p>
        </w:tc>
        <w:tc>
          <w:tcPr>
            <w:tcW w:type="dxa" w:w="4320"/>
          </w:tcPr>
          <w:p>
            <w:r>
              <w:t>0.79</w:t>
            </w:r>
          </w:p>
        </w:tc>
      </w:tr>
    </w:tbl>
    <w:p>
      <w:pPr>
        <w:pStyle w:val="Heading1"/>
      </w:pPr>
      <w:r>
        <w:t>[VALIDATOR][ID:validation_independent] 5. Independent Validation</w:t>
      </w:r>
    </w:p>
    <w:p>
      <w:r>
        <w:t>Reserved for independent validation function.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Validation status</w:t>
            </w:r>
          </w:p>
        </w:tc>
        <w:tc>
          <w:tcPr>
            <w:tcW w:type="dxa" w:w="4320"/>
          </w:tcPr>
          <w:p>
            <w:r>
              <w:t>[x] Approved</w:t>
            </w:r>
          </w:p>
        </w:tc>
      </w:tr>
      <w:tr>
        <w:tc>
          <w:tcPr>
            <w:tcW w:type="dxa" w:w="4320"/>
          </w:tcPr>
          <w:p>
            <w:r>
              <w:t>Validation findings summary</w:t>
            </w:r>
          </w:p>
        </w:tc>
        <w:tc>
          <w:tcPr>
            <w:tcW w:type="dxa" w:w="4320"/>
          </w:tcPr>
          <w:p>
            <w:r>
              <w:t>Minor finding regarding documentation of feature selection process (resolved).</w:t>
            </w:r>
          </w:p>
        </w:tc>
      </w:tr>
      <w:tr>
        <w:tc>
          <w:tcPr>
            <w:tcW w:type="dxa" w:w="4320"/>
          </w:tcPr>
          <w:p>
            <w:r>
              <w:t>Residual model risk</w:t>
            </w:r>
          </w:p>
        </w:tc>
        <w:tc>
          <w:tcPr>
            <w:tcW w:type="dxa" w:w="4320"/>
          </w:tcPr>
          <w:p>
            <w:r>
              <w:t>Low. Accepted by Model Governance Committee.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