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Model Change Governance Process</w:t>
      </w:r>
    </w:p>
    <w:p>
      <w:r>
        <w:t xml:space="preserve">**CHANGE INTAKE**</w:t>
      </w:r>
    </w:p>
    <w:p>
      <w:r>
        <w:t xml:space="preserve">The model owner submits a change ticket with the affected methodology, model version, reason, and expected impact. The referenced loss methodology has a different name in one paragraph.</w:t>
      </w:r>
    </w:p>
    <w:p>
      <w:r>
        <w:t xml:space="preserve">**IMPACT ASSESSMENT**</w:t>
      </w:r>
    </w:p>
    <w:p>
      <w:r>
        <w:t xml:space="preserve">| Misplaced summary | Value |</w:t>
      </w:r>
      <w:r>
        <w:t xml:space="preserve">| review note | See prior section |</w:t>
      </w:r>
    </w:p>
    <w:p>
      <w:r>
        <w:t xml:space="preserve">The validator assesses data, formula, control, and downstream reporting impact. A materiality threshold is mentioned without a unit or approving role. See the table below.</w:t>
      </w:r>
    </w:p>
    <w:p>
      <w:r>
        <w:t xml:space="preserve">**APPROVAL AND IMPLEMENTATION**</w:t>
      </w:r>
    </w:p>
    <w:p>
      <w:r>
        <w:t xml:space="preserve">The Model Risk Committee approves high-impact changes. The implementation team deploys the approved version after validation evidence is attached.</w:t>
      </w:r>
    </w:p>
    <w:p>
      <w:r>
        <w:t xml:space="preserve">**EVIDENCE AND ROLLBACK**</w:t>
      </w:r>
    </w:p>
    <w:p>
      <w:r>
        <w:t xml:space="preserve">The ticket stores validation results, approval minutes, and a rollback package. It depends on the Third-Party Risk Standard for vendor-hosted model evidence.</w:t>
      </w:r>
    </w:p>
    <w:p>
      <w:r>
        <w:t xml:space="preserve">**VERSION LIFECYCLE**</w:t>
      </w:r>
    </w:p>
    <w:p>
      <w:r>
        <w:t xml:space="preserve">The prior version is superseded after production monitoring begins. The source does not specify a current-version selection rule for cross-document retrieval.</w:t>
      </w:r>
    </w:p>
    <w:p>
      <w:r>
        <w:t xml:space="preserve">Model Change Governance Process | Internal fictional fixture | Page 1 of 2</w:t>
      </w:r>
    </w:p>
    <w:p>
      <w:r>
        <w:t xml:space="preserve">Model Change Governance Process | Internal fictional fixture | Page 1 of 2</w:t>
      </w:r>
    </w:p>
    <w:sectPr/>
  </w:body>
</w:document>
</file>

<file path=word/_rels/document.xml.rels><?xml version="1.0" encoding="UTF-8"?><Relationships xmlns="http://schemas.openxmlformats.org/package/2006/relationships"/>
</file>