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Monthly Loss Forecasting Methodology</w:t>
      </w:r>
    </w:p>
    <w:p>
      <w:r>
        <w:t xml:space="preserve">**PURPOSE AND SCOPE**</w:t>
      </w:r>
    </w:p>
    <w:p>
      <w:r>
        <w:t xml:space="preserve">The method estimates monthly portfolio loss for the fictional Northstar Cooperative. It applies to the managed consumer portfolio and excludes one-off legal settlements.</w:t>
      </w:r>
    </w:p>
    <w:p>
      <w:r>
        <w:t xml:space="preserve">**DATA INPUTS AND PREPARATION**</w:t>
      </w:r>
    </w:p>
    <w:p>
      <w:r>
        <w:t xml:space="preserve">| Misplaced summary | Value |</w:t>
      </w:r>
      <w:r>
        <w:t xml:space="preserve">| review note | See prior section |</w:t>
      </w:r>
    </w:p>
    <w:p>
      <w:r>
        <w:t xml:space="preserve">The analyst loads the Northstar ledger extract and delinquency history, removes duplicate account rows, and records the as-of date before modeling. See the table below.</w:t>
      </w:r>
    </w:p>
    <w:p>
      <w:r>
        <w:t xml:space="preserve">**METHOD AND CALCULATOR**</w:t>
      </w:r>
    </w:p>
    <w:p>
      <w:r>
        <w:t xml:space="preserve">The method combines a three-month observed loss rate with a stress multiplier. The Loss Allocation Workbook is an offline Excel calculator owned by the Forecasting Lead.</w:t>
      </w:r>
    </w:p>
    <w:p>
      <w:r>
        <w:t xml:space="preserve">**CONTROLS AND VALIDATION**</w:t>
      </w:r>
    </w:p>
    <w:p>
      <w:r>
        <w:t xml:space="preserve">The reviewer checks source row counts, recalculates the variance, and archives the workbook with the monthly evidence packet. A control is named but its frequency is not stated.</w:t>
      </w:r>
    </w:p>
    <w:p>
      <w:r>
        <w:t xml:space="preserve">**ASSUMPTIONS AND LIMITATIONS**</w:t>
      </w:r>
    </w:p>
    <w:p>
      <w:r>
        <w:t xml:space="preserve">The source assumes stable reporting definitions. It does not state how a structural portfolio change limits the result or who approves an override.</w:t>
      </w:r>
    </w:p>
    <w:p>
      <w:r>
        <w:t xml:space="preserve">Monthly Loss Forecasting Methodology | Internal fictional fixture | Page 1 of 2</w:t>
      </w:r>
    </w:p>
    <w:p>
      <w:r>
        <w:t xml:space="preserve">Monthly Loss Forecasting Methodology | Internal fictional fixture | Page 1 of 2</w:t>
      </w:r>
    </w:p>
    <w:sectPr/>
  </w:body>
</w:document>
</file>

<file path=word/_rels/document.xml.rels><?xml version="1.0" encoding="UTF-8"?><Relationships xmlns="http://schemas.openxmlformats.org/package/2006/relationships"/>
</file>