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# Third-Party Risk Standard</w:t>
      </w:r>
    </w:p>
    <w:p>
      <w:pPr>
        <w:pStyle w:val="Heading1"/>
      </w:pPr>
      <w:r>
        <w:t xml:space="preserve">## Purpose and applicability</w:t>
      </w:r>
    </w:p>
    <w:p>
      <w:r>
        <w:t xml:space="preserve">This standard defines minimum due-diligence requirements for fictional Meridian suppliers handling controlled data. It does not apply to public sample vendors.</w:t>
      </w:r>
    </w:p>
    <w:p>
      <w:pPr>
        <w:pStyle w:val="Heading1"/>
      </w:pPr>
      <w:r>
        <w:t xml:space="preserve">## Normative requirements</w:t>
      </w:r>
    </w:p>
    <w:p>
      <w:r>
        <w:t xml:space="preserve">REQ-TPRM-001 says a supplier MUST have a named owner and evidence package. REQ-TPRM-002 says a supplier SHOULD complete annual review, while a later sentence calls annual review mandatory.</w:t>
      </w:r>
    </w:p>
    <w:p>
      <w:pPr>
        <w:pStyle w:val="Heading1"/>
      </w:pPr>
      <w:r>
        <w:t xml:space="preserve">## Exceptions and evidence</w:t>
      </w:r>
    </w:p>
    <w:p>
      <w:r>
        <w:t xml:space="preserve">The risk committee may approve an exception with compensating evidence. The text does not state an expiry or the storage location for the evidence package.</w:t>
      </w:r>
    </w:p>
    <w:p>
      <w:pPr>
        <w:pStyle w:val="Heading1"/>
      </w:pPr>
      <w:r>
        <w:t xml:space="preserve">## Enforcement</w:t>
      </w:r>
    </w:p>
    <w:p>
      <w:r>
        <w:t xml:space="preserve">Procurement blocks onboarding when the required package is absent and escalates unresolved findings to the Risk Officer.</w:t>
      </w:r>
    </w:p>
    <w:p>
      <w:pPr>
        <w:pStyle w:val="Heading1"/>
      </w:pPr>
      <w:r>
        <w:t xml:space="preserve">## Version governance</w:t>
      </w:r>
    </w:p>
    <w:p>
      <w:r>
        <w:t xml:space="preserve">Version 1.0 is effective 2026-04-01. It supersedes a document called Vendor Assurance Guide without a stable document ID.</w:t>
      </w:r>
    </w:p>
    <w:sectPr/>
  </w:body>
</w:document>
</file>

<file path=word/_rels/document.xml.rels><?xml version="1.0" encoding="UTF-8"?><Relationships xmlns="http://schemas.openxmlformats.org/package/2006/relationships"/>
</file>