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Incident Escalation Desktop Procedure</w:t>
      </w:r>
    </w:p>
    <w:p>
      <w:r>
        <w:t xml:space="preserve">**PREREQUISITES AND ACCESS**</w:t>
      </w:r>
    </w:p>
    <w:p>
      <w:r>
        <w:t xml:space="preserve">The operator needs access to Beacon Monitor, the Incident Console, and the service roster. A screenshot is referenced as the authoritative click path.</w:t>
      </w:r>
    </w:p>
    <w:p>
      <w:r>
        <w:t xml:space="preserve">**ATOMIC ACTIONS**</w:t>
      </w:r>
    </w:p>
    <w:p>
      <w:r>
        <w:t xml:space="preserve">| Misplaced summary | Value |</w:t>
      </w:r>
      <w:r>
        <w:t xml:space="preserve">| review note | See prior section |</w:t>
      </w:r>
    </w:p>
    <w:p>
      <w:r>
        <w:t xml:space="preserve">Open the alert, acknowledge it, and assign the incident to the on-call role. If it is customer-impacting, notify the communications lead. See the table below.</w:t>
      </w:r>
    </w:p>
    <w:p>
      <w:r>
        <w:t xml:space="preserve">**SEVERITY DECISION**</w:t>
      </w:r>
    </w:p>
    <w:p>
      <w:r>
        <w:t xml:space="preserve">Use the service-level table to choose a fifteen-minute or one-hour response. The table does not define the customer-impacting test.</w:t>
      </w:r>
    </w:p>
    <w:p>
      <w:r>
        <w:t xml:space="preserve">**FAILURE PATH AND ROLLBACK**</w:t>
      </w:r>
    </w:p>
    <w:p>
      <w:r>
        <w:t xml:space="preserve">If the console is unavailable, use the phone tree and record the incident in the offline worksheet. Restore the primary record after service returns.</w:t>
      </w:r>
    </w:p>
    <w:p>
      <w:r>
        <w:t xml:space="preserve">**EVIDENCE AND COMPLETION**</w:t>
      </w:r>
    </w:p>
    <w:p>
      <w:r>
        <w:t xml:space="preserve">Save the alert ID and notification timestamp. The procedure does not define the final completion condition or evidence retention.</w:t>
      </w:r>
    </w:p>
    <w:p>
      <w:r>
        <w:t xml:space="preserve">Incident Escalation Desktop Procedure | Internal fictional fixture | Page 1 of 2</w:t>
      </w:r>
    </w:p>
    <w:p>
      <w:r>
        <w:t xml:space="preserve">Incident Escalation Desktop Procedure | Internal fictional fixture | Page 1 of 2</w:t>
      </w:r>
    </w:p>
    <w:sectPr/>
  </w:body>
</w:document>
</file>

<file path=word/_rels/document.xml.rels><?xml version="1.0" encoding="UTF-8"?><Relationships xmlns="http://schemas.openxmlformats.org/package/2006/relationships"/>
</file>