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# Model Change Governance Process</w:t>
      </w:r>
    </w:p>
    <w:p>
      <w:pPr>
        <w:pStyle w:val="Heading1"/>
      </w:pPr>
      <w:r>
        <w:t xml:space="preserve">## Change intake</w:t>
      </w:r>
    </w:p>
    <w:p>
      <w:r>
        <w:t xml:space="preserve">The model owner submits a change ticket with the affected methodology, model version, reason, and expected impact. The referenced loss methodology has a different name in one paragraph.</w:t>
      </w:r>
    </w:p>
    <w:p>
      <w:pPr>
        <w:pStyle w:val="Heading1"/>
      </w:pPr>
      <w:r>
        <w:t xml:space="preserve">## Impact assessment</w:t>
      </w:r>
    </w:p>
    <w:p>
      <w:r>
        <w:t xml:space="preserve">The validator assesses data, formula, control, and downstream reporting impact. A materiality threshold is mentioned without a unit or approving role.</w:t>
      </w:r>
    </w:p>
    <w:p>
      <w:pPr>
        <w:pStyle w:val="Heading1"/>
      </w:pPr>
      <w:r>
        <w:t xml:space="preserve">## Approval and implementation</w:t>
      </w:r>
    </w:p>
    <w:p>
      <w:r>
        <w:t xml:space="preserve">The Model Risk Committee approves high-impact changes. The implementation team deploys the approved version after validation evidence is attached.</w:t>
      </w:r>
    </w:p>
    <w:p>
      <w:pPr>
        <w:pStyle w:val="Heading1"/>
      </w:pPr>
      <w:r>
        <w:t xml:space="preserve">## Evidence and rollback</w:t>
      </w:r>
    </w:p>
    <w:p>
      <w:r>
        <w:t xml:space="preserve">The ticket stores validation results, approval minutes, and a rollback package. It depends on the Third-Party Risk Standard for vendor-hosted model evidence.</w:t>
      </w:r>
    </w:p>
    <w:p>
      <w:pPr>
        <w:pStyle w:val="Heading1"/>
      </w:pPr>
      <w:r>
        <w:t xml:space="preserve">## Version lifecycle</w:t>
      </w:r>
    </w:p>
    <w:p>
      <w:r>
        <w:t xml:space="preserve">The prior version is superseded after production monitoring begins. The source does not specify a current-version selection rule for cross-document retrieval.</w:t>
      </w:r>
    </w:p>
    <w:sectPr/>
  </w:body>
</w:document>
</file>

<file path=word/_rels/document.xml.rels><?xml version="1.0" encoding="UTF-8"?><Relationships xmlns="http://schemas.openxmlformats.org/package/2006/relationships"/>
</file>