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403" w:rsidRPr="00964403" w:rsidRDefault="00964403" w:rsidP="0089495E">
      <w:pPr>
        <w:jc w:val="both"/>
        <w:rPr>
          <w:rFonts w:ascii="Arial" w:hAnsi="Arial" w:cs="Arial"/>
          <w:b/>
          <w:sz w:val="24"/>
          <w:lang w:val="de-DE"/>
        </w:rPr>
      </w:pPr>
      <w:r w:rsidRPr="00964403">
        <w:rPr>
          <w:rFonts w:ascii="Arial" w:hAnsi="Arial" w:cs="Arial"/>
          <w:b/>
          <w:sz w:val="24"/>
          <w:lang w:val="de-DE"/>
        </w:rPr>
        <w:t>NK_GSSZ17</w:t>
      </w:r>
      <w:r w:rsidR="00B6663D" w:rsidRPr="00964403">
        <w:rPr>
          <w:rFonts w:ascii="Arial" w:hAnsi="Arial" w:cs="Arial"/>
          <w:b/>
          <w:sz w:val="24"/>
          <w:lang w:val="de-DE"/>
        </w:rPr>
        <w:t xml:space="preserve">: </w:t>
      </w:r>
      <w:proofErr w:type="spellStart"/>
      <w:r w:rsidRPr="00964403">
        <w:rPr>
          <w:rFonts w:ascii="Arial" w:hAnsi="Arial" w:cs="Arial"/>
          <w:b/>
          <w:sz w:val="24"/>
          <w:lang w:val="de-DE"/>
        </w:rPr>
        <w:t>Gilchrist</w:t>
      </w:r>
      <w:proofErr w:type="spellEnd"/>
      <w:r w:rsidRPr="00964403">
        <w:rPr>
          <w:rFonts w:ascii="Arial" w:hAnsi="Arial" w:cs="Arial"/>
          <w:b/>
          <w:sz w:val="24"/>
          <w:lang w:val="de-DE"/>
        </w:rPr>
        <w:t xml:space="preserve">, </w:t>
      </w:r>
      <w:proofErr w:type="spellStart"/>
      <w:r w:rsidRPr="00964403">
        <w:rPr>
          <w:rFonts w:ascii="Arial" w:hAnsi="Arial" w:cs="Arial"/>
          <w:b/>
          <w:sz w:val="24"/>
          <w:lang w:val="de-DE"/>
        </w:rPr>
        <w:t>Schoenle</w:t>
      </w:r>
      <w:proofErr w:type="spellEnd"/>
      <w:r w:rsidRPr="00964403">
        <w:rPr>
          <w:rFonts w:ascii="Arial" w:hAnsi="Arial" w:cs="Arial"/>
          <w:b/>
          <w:sz w:val="24"/>
          <w:lang w:val="de-DE"/>
        </w:rPr>
        <w:t xml:space="preserve">, Sim, </w:t>
      </w:r>
      <w:proofErr w:type="spellStart"/>
      <w:r w:rsidRPr="00964403">
        <w:rPr>
          <w:rFonts w:ascii="Arial" w:hAnsi="Arial" w:cs="Arial"/>
          <w:b/>
          <w:sz w:val="24"/>
          <w:lang w:val="de-DE"/>
        </w:rPr>
        <w:t>and</w:t>
      </w:r>
      <w:proofErr w:type="spellEnd"/>
      <w:r w:rsidRPr="00964403">
        <w:rPr>
          <w:rFonts w:ascii="Arial" w:hAnsi="Arial" w:cs="Arial"/>
          <w:b/>
          <w:sz w:val="24"/>
          <w:lang w:val="de-DE"/>
        </w:rPr>
        <w:t xml:space="preserve"> </w:t>
      </w:r>
      <w:proofErr w:type="spellStart"/>
      <w:r w:rsidRPr="00964403">
        <w:rPr>
          <w:rFonts w:ascii="Arial" w:hAnsi="Arial" w:cs="Arial"/>
          <w:b/>
          <w:sz w:val="24"/>
          <w:lang w:val="de-DE"/>
        </w:rPr>
        <w:t>Zakrajšek</w:t>
      </w:r>
      <w:proofErr w:type="spellEnd"/>
      <w:r>
        <w:rPr>
          <w:rFonts w:ascii="Arial" w:hAnsi="Arial" w:cs="Arial"/>
          <w:b/>
          <w:sz w:val="24"/>
          <w:lang w:val="de-DE"/>
        </w:rPr>
        <w:t xml:space="preserve"> (2017)</w:t>
      </w:r>
    </w:p>
    <w:p w:rsidR="001E2C37" w:rsidRDefault="001E2C37" w:rsidP="0089495E">
      <w:pPr>
        <w:jc w:val="both"/>
        <w:rPr>
          <w:rFonts w:ascii="Arial" w:hAnsi="Arial" w:cs="Arial"/>
          <w:sz w:val="24"/>
        </w:rPr>
      </w:pPr>
      <w:r>
        <w:rPr>
          <w:rFonts w:ascii="Arial" w:hAnsi="Arial" w:cs="Arial"/>
          <w:sz w:val="24"/>
        </w:rPr>
        <w:t xml:space="preserve">Gilchrist et al. (2017) present a small-scale DSGE models with financial frictions to explain inflation dynamics during the financial crisis. In response to contractionary financial or demand shocks, financial frictions create incentives for firms to raise prices, therefore mitigating the deflationary effects of shocks. </w:t>
      </w:r>
    </w:p>
    <w:p w:rsidR="00E6789C" w:rsidRPr="004C2065" w:rsidRDefault="0089495E" w:rsidP="00E6789C">
      <w:pPr>
        <w:pStyle w:val="Listenabsatz"/>
        <w:numPr>
          <w:ilvl w:val="0"/>
          <w:numId w:val="1"/>
        </w:numPr>
        <w:jc w:val="both"/>
        <w:rPr>
          <w:rFonts w:ascii="Arial" w:hAnsi="Arial" w:cs="Arial"/>
          <w:sz w:val="24"/>
        </w:rPr>
      </w:pPr>
      <w:r w:rsidRPr="00394577">
        <w:rPr>
          <w:rFonts w:ascii="Arial" w:hAnsi="Arial" w:cs="Arial"/>
          <w:sz w:val="24"/>
        </w:rPr>
        <w:t xml:space="preserve">Aggregate </w:t>
      </w:r>
      <w:r w:rsidR="004D375C">
        <w:rPr>
          <w:rFonts w:ascii="Arial" w:hAnsi="Arial" w:cs="Arial"/>
          <w:sz w:val="24"/>
        </w:rPr>
        <w:t>D</w:t>
      </w:r>
      <w:r w:rsidRPr="00394577">
        <w:rPr>
          <w:rFonts w:ascii="Arial" w:hAnsi="Arial" w:cs="Arial"/>
          <w:sz w:val="24"/>
        </w:rPr>
        <w:t xml:space="preserve">emand: </w:t>
      </w:r>
      <w:r w:rsidR="00440419" w:rsidRPr="00394577">
        <w:rPr>
          <w:rFonts w:ascii="Arial" w:hAnsi="Arial" w:cs="Arial"/>
          <w:sz w:val="24"/>
        </w:rPr>
        <w:t xml:space="preserve">Households maximize their lifetime utility, where the per-period utility function is separable in consumption </w:t>
      </w:r>
      <w:r w:rsidR="00C01E5C">
        <w:rPr>
          <w:rFonts w:ascii="Arial" w:hAnsi="Arial" w:cs="Arial"/>
          <w:sz w:val="24"/>
        </w:rPr>
        <w:t xml:space="preserve">and </w:t>
      </w:r>
      <w:r w:rsidR="004D375C">
        <w:rPr>
          <w:rFonts w:ascii="Arial" w:hAnsi="Arial" w:cs="Arial"/>
          <w:sz w:val="24"/>
        </w:rPr>
        <w:t xml:space="preserve">labour. </w:t>
      </w:r>
      <w:r w:rsidR="00E6789C">
        <w:rPr>
          <w:rFonts w:ascii="Arial" w:hAnsi="Arial" w:cs="Arial"/>
          <w:sz w:val="24"/>
        </w:rPr>
        <w:t xml:space="preserve">Household utility from consumption is subject to good-specific external habits a la </w:t>
      </w:r>
      <w:proofErr w:type="spellStart"/>
      <w:r w:rsidR="00E6789C">
        <w:rPr>
          <w:rFonts w:ascii="Arial" w:hAnsi="Arial" w:cs="Arial"/>
          <w:sz w:val="24"/>
        </w:rPr>
        <w:t>Ravn</w:t>
      </w:r>
      <w:proofErr w:type="spellEnd"/>
      <w:r w:rsidR="00E6789C">
        <w:rPr>
          <w:rFonts w:ascii="Arial" w:hAnsi="Arial" w:cs="Arial"/>
          <w:sz w:val="24"/>
        </w:rPr>
        <w:t xml:space="preserve">, Schmitt-Grohe and Uribe (2006). </w:t>
      </w:r>
    </w:p>
    <w:p w:rsidR="00E6789C" w:rsidRDefault="00FA4957" w:rsidP="00440419">
      <w:pPr>
        <w:pStyle w:val="Listenabsatz"/>
        <w:numPr>
          <w:ilvl w:val="0"/>
          <w:numId w:val="1"/>
        </w:numPr>
        <w:jc w:val="both"/>
        <w:rPr>
          <w:rFonts w:ascii="Arial" w:hAnsi="Arial" w:cs="Arial"/>
          <w:sz w:val="24"/>
        </w:rPr>
      </w:pPr>
      <w:r w:rsidRPr="00394577">
        <w:rPr>
          <w:rFonts w:ascii="Arial" w:hAnsi="Arial" w:cs="Arial"/>
          <w:sz w:val="24"/>
        </w:rPr>
        <w:t xml:space="preserve">Aggregate Supply: </w:t>
      </w:r>
      <w:r w:rsidR="00E6789C">
        <w:rPr>
          <w:rFonts w:ascii="Arial" w:hAnsi="Arial" w:cs="Arial"/>
          <w:sz w:val="24"/>
        </w:rPr>
        <w:t xml:space="preserve">Intermediate goods production is done by a continuum of monopolistically competitive firms using a production function with decreasing returns to scale and fixed operating costs. Firms maximize the present value of discounted dividends and must commit to pricing and production decisions prior to realizations of their idiosyncratic shock. </w:t>
      </w:r>
      <w:r w:rsidR="00243752">
        <w:rPr>
          <w:rFonts w:ascii="Arial" w:hAnsi="Arial" w:cs="Arial"/>
          <w:sz w:val="24"/>
        </w:rPr>
        <w:t xml:space="preserve">Depending on the shock realization, firms must raise external funds in order to pay workers. Firms can obtain external funds by issuing new equity subject to dilution costs reflecting agency problems in the financial markets. Firms also face </w:t>
      </w:r>
      <w:proofErr w:type="spellStart"/>
      <w:r w:rsidR="00243752">
        <w:rPr>
          <w:rFonts w:ascii="Arial" w:hAnsi="Arial" w:cs="Arial"/>
          <w:sz w:val="24"/>
        </w:rPr>
        <w:t>Rotemberg</w:t>
      </w:r>
      <w:proofErr w:type="spellEnd"/>
      <w:r w:rsidR="00243752">
        <w:rPr>
          <w:rFonts w:ascii="Arial" w:hAnsi="Arial" w:cs="Arial"/>
          <w:sz w:val="24"/>
        </w:rPr>
        <w:t xml:space="preserve"> (1982) quadratic adjustment costs when changing nominal prices. </w:t>
      </w:r>
    </w:p>
    <w:p w:rsidR="00394577" w:rsidRPr="00394577" w:rsidRDefault="00FA4957" w:rsidP="0089495E">
      <w:pPr>
        <w:pStyle w:val="Listenabsatz"/>
        <w:numPr>
          <w:ilvl w:val="0"/>
          <w:numId w:val="1"/>
        </w:numPr>
        <w:jc w:val="both"/>
        <w:rPr>
          <w:rFonts w:ascii="Arial" w:hAnsi="Arial" w:cs="Arial"/>
          <w:sz w:val="24"/>
        </w:rPr>
      </w:pPr>
      <w:r w:rsidRPr="00394577">
        <w:rPr>
          <w:rFonts w:ascii="Arial" w:hAnsi="Arial" w:cs="Arial"/>
          <w:sz w:val="24"/>
        </w:rPr>
        <w:t xml:space="preserve">Shocks: </w:t>
      </w:r>
      <w:r w:rsidR="00BB2AD6">
        <w:rPr>
          <w:rFonts w:ascii="Arial" w:hAnsi="Arial" w:cs="Arial"/>
          <w:sz w:val="24"/>
        </w:rPr>
        <w:t>Technology shock, demand shock</w:t>
      </w:r>
      <w:r w:rsidR="00790862">
        <w:rPr>
          <w:rFonts w:ascii="Arial" w:hAnsi="Arial" w:cs="Arial"/>
          <w:sz w:val="24"/>
        </w:rPr>
        <w:t xml:space="preserve">, </w:t>
      </w:r>
      <w:r w:rsidR="00671EC1">
        <w:rPr>
          <w:rFonts w:ascii="Arial" w:hAnsi="Arial" w:cs="Arial"/>
          <w:sz w:val="24"/>
        </w:rPr>
        <w:t xml:space="preserve">financial shock and a </w:t>
      </w:r>
      <w:r w:rsidR="00790862">
        <w:rPr>
          <w:rFonts w:ascii="Arial" w:hAnsi="Arial" w:cs="Arial"/>
          <w:sz w:val="24"/>
        </w:rPr>
        <w:t xml:space="preserve">monetary policy shock. </w:t>
      </w:r>
    </w:p>
    <w:p w:rsidR="00014D95" w:rsidRPr="00394577" w:rsidRDefault="00FA4957" w:rsidP="00394577">
      <w:pPr>
        <w:pStyle w:val="Listenabsatz"/>
        <w:numPr>
          <w:ilvl w:val="0"/>
          <w:numId w:val="1"/>
        </w:numPr>
        <w:jc w:val="both"/>
        <w:rPr>
          <w:rFonts w:ascii="Arial" w:hAnsi="Arial" w:cs="Arial"/>
          <w:sz w:val="24"/>
        </w:rPr>
      </w:pPr>
      <w:r w:rsidRPr="00394577">
        <w:rPr>
          <w:rFonts w:ascii="Arial" w:hAnsi="Arial" w:cs="Arial"/>
          <w:sz w:val="24"/>
        </w:rPr>
        <w:t xml:space="preserve">Calibration/Estimation: </w:t>
      </w:r>
      <w:r w:rsidR="003742B7">
        <w:rPr>
          <w:rFonts w:ascii="Arial" w:hAnsi="Arial" w:cs="Arial"/>
          <w:sz w:val="24"/>
        </w:rPr>
        <w:t xml:space="preserve">The model is </w:t>
      </w:r>
      <w:r w:rsidR="00671EC1">
        <w:rPr>
          <w:rFonts w:ascii="Arial" w:hAnsi="Arial" w:cs="Arial"/>
          <w:sz w:val="24"/>
        </w:rPr>
        <w:t>calibrated for the US using sta</w:t>
      </w:r>
      <w:r w:rsidR="00436903">
        <w:rPr>
          <w:rFonts w:ascii="Arial" w:hAnsi="Arial" w:cs="Arial"/>
          <w:sz w:val="24"/>
        </w:rPr>
        <w:t>ndard values for the core block</w:t>
      </w:r>
      <w:r w:rsidR="00671EC1">
        <w:rPr>
          <w:rFonts w:ascii="Arial" w:hAnsi="Arial" w:cs="Arial"/>
          <w:sz w:val="24"/>
        </w:rPr>
        <w:t xml:space="preserve"> and following previous literature for the deep habits, the elasticities of substitution and financial market frictions. </w:t>
      </w:r>
    </w:p>
    <w:p w:rsidR="00FA4957" w:rsidRDefault="00FA4957" w:rsidP="0089495E">
      <w:pPr>
        <w:pStyle w:val="Listenabsatz"/>
        <w:numPr>
          <w:ilvl w:val="0"/>
          <w:numId w:val="1"/>
        </w:numPr>
        <w:jc w:val="both"/>
        <w:rPr>
          <w:rFonts w:ascii="Arial" w:hAnsi="Arial" w:cs="Arial"/>
          <w:sz w:val="24"/>
        </w:rPr>
      </w:pPr>
      <w:r w:rsidRPr="00394577">
        <w:rPr>
          <w:rFonts w:ascii="Arial" w:hAnsi="Arial" w:cs="Arial"/>
          <w:sz w:val="24"/>
        </w:rPr>
        <w:t xml:space="preserve">Replication: We </w:t>
      </w:r>
      <w:r w:rsidR="003E0CE6" w:rsidRPr="00394577">
        <w:rPr>
          <w:rFonts w:ascii="Arial" w:hAnsi="Arial" w:cs="Arial"/>
          <w:sz w:val="24"/>
        </w:rPr>
        <w:t>simulated</w:t>
      </w:r>
      <w:r w:rsidRPr="00394577">
        <w:rPr>
          <w:rFonts w:ascii="Arial" w:hAnsi="Arial" w:cs="Arial"/>
          <w:sz w:val="24"/>
        </w:rPr>
        <w:t xml:space="preserve"> the impulse response functions to a </w:t>
      </w:r>
      <w:r w:rsidR="000A06FF">
        <w:rPr>
          <w:rFonts w:ascii="Arial" w:hAnsi="Arial" w:cs="Arial"/>
          <w:sz w:val="24"/>
        </w:rPr>
        <w:t xml:space="preserve">demand shock in the economy with financial frictions and nominal rigidities, Figure 5 (red line) in the paper. </w:t>
      </w:r>
    </w:p>
    <w:p w:rsidR="00841FBA" w:rsidRPr="005438A7" w:rsidRDefault="00841FBA" w:rsidP="005438A7">
      <w:pPr>
        <w:ind w:left="360"/>
        <w:jc w:val="both"/>
        <w:rPr>
          <w:rFonts w:ascii="Arial" w:hAnsi="Arial" w:cs="Arial"/>
          <w:sz w:val="24"/>
        </w:rPr>
      </w:pPr>
      <w:bookmarkStart w:id="0" w:name="_GoBack"/>
      <w:bookmarkEnd w:id="0"/>
    </w:p>
    <w:sectPr w:rsidR="00841FBA" w:rsidRPr="00543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F361F"/>
    <w:multiLevelType w:val="hybridMultilevel"/>
    <w:tmpl w:val="062C1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57"/>
    <w:rsid w:val="00014D95"/>
    <w:rsid w:val="000A06FF"/>
    <w:rsid w:val="00100AAD"/>
    <w:rsid w:val="00145F37"/>
    <w:rsid w:val="001E2C37"/>
    <w:rsid w:val="00243752"/>
    <w:rsid w:val="00295253"/>
    <w:rsid w:val="002D55DC"/>
    <w:rsid w:val="0033155E"/>
    <w:rsid w:val="00357F06"/>
    <w:rsid w:val="003742B7"/>
    <w:rsid w:val="00394577"/>
    <w:rsid w:val="003E0CE6"/>
    <w:rsid w:val="00430FB2"/>
    <w:rsid w:val="00436903"/>
    <w:rsid w:val="00440419"/>
    <w:rsid w:val="00446F75"/>
    <w:rsid w:val="004C2065"/>
    <w:rsid w:val="004D375C"/>
    <w:rsid w:val="004E3467"/>
    <w:rsid w:val="005438A7"/>
    <w:rsid w:val="00571B74"/>
    <w:rsid w:val="00594D39"/>
    <w:rsid w:val="00671EC1"/>
    <w:rsid w:val="00790862"/>
    <w:rsid w:val="007C4ED4"/>
    <w:rsid w:val="0083599B"/>
    <w:rsid w:val="00841FBA"/>
    <w:rsid w:val="00867809"/>
    <w:rsid w:val="0089495E"/>
    <w:rsid w:val="008A30DC"/>
    <w:rsid w:val="00964403"/>
    <w:rsid w:val="00A246F2"/>
    <w:rsid w:val="00B62970"/>
    <w:rsid w:val="00B6663D"/>
    <w:rsid w:val="00BB2AD6"/>
    <w:rsid w:val="00BF4FCD"/>
    <w:rsid w:val="00C01E5C"/>
    <w:rsid w:val="00CD3E4B"/>
    <w:rsid w:val="00D0386C"/>
    <w:rsid w:val="00D32B91"/>
    <w:rsid w:val="00D568D3"/>
    <w:rsid w:val="00DD124F"/>
    <w:rsid w:val="00DE62B0"/>
    <w:rsid w:val="00E6789C"/>
    <w:rsid w:val="00E86126"/>
    <w:rsid w:val="00FA4957"/>
    <w:rsid w:val="00FD0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49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9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1555</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Central Bank</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Lieberknecht, Philipp</dc:creator>
  <cp:lastModifiedBy>Philipp Lieberknecht</cp:lastModifiedBy>
  <cp:revision>44</cp:revision>
  <dcterms:created xsi:type="dcterms:W3CDTF">2018-01-17T12:56:00Z</dcterms:created>
  <dcterms:modified xsi:type="dcterms:W3CDTF">2019-02-07T09:30:00Z</dcterms:modified>
</cp:coreProperties>
</file>