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57" w:rsidRPr="00394577" w:rsidRDefault="002D55DC" w:rsidP="0089495E">
      <w:pPr>
        <w:jc w:val="both"/>
        <w:rPr>
          <w:rFonts w:ascii="Arial" w:hAnsi="Arial" w:cs="Arial"/>
          <w:b/>
          <w:sz w:val="24"/>
        </w:rPr>
      </w:pPr>
      <w:r w:rsidRPr="00394577">
        <w:rPr>
          <w:rFonts w:ascii="Arial" w:hAnsi="Arial" w:cs="Arial"/>
          <w:b/>
          <w:sz w:val="24"/>
        </w:rPr>
        <w:t>NK_</w:t>
      </w:r>
      <w:r w:rsidR="00B75228">
        <w:rPr>
          <w:rFonts w:ascii="Arial" w:hAnsi="Arial" w:cs="Arial"/>
          <w:b/>
          <w:sz w:val="24"/>
        </w:rPr>
        <w:t>P</w:t>
      </w:r>
      <w:r w:rsidRPr="00394577">
        <w:rPr>
          <w:rFonts w:ascii="Arial" w:hAnsi="Arial" w:cs="Arial"/>
          <w:b/>
          <w:sz w:val="24"/>
        </w:rPr>
        <w:t>P</w:t>
      </w:r>
      <w:r w:rsidR="00B75228">
        <w:rPr>
          <w:rFonts w:ascii="Arial" w:hAnsi="Arial" w:cs="Arial"/>
          <w:b/>
          <w:sz w:val="24"/>
        </w:rPr>
        <w:t>17</w:t>
      </w:r>
      <w:r w:rsidR="00B6663D" w:rsidRPr="00394577">
        <w:rPr>
          <w:rFonts w:ascii="Arial" w:hAnsi="Arial" w:cs="Arial"/>
          <w:b/>
          <w:sz w:val="24"/>
        </w:rPr>
        <w:t xml:space="preserve">: </w:t>
      </w:r>
      <w:r w:rsidR="00B75228">
        <w:rPr>
          <w:rFonts w:ascii="Arial" w:hAnsi="Arial" w:cs="Arial"/>
          <w:b/>
          <w:sz w:val="24"/>
        </w:rPr>
        <w:t xml:space="preserve">De Paoli and </w:t>
      </w:r>
      <w:proofErr w:type="spellStart"/>
      <w:r w:rsidR="00B75228">
        <w:rPr>
          <w:rFonts w:ascii="Arial" w:hAnsi="Arial" w:cs="Arial"/>
          <w:b/>
          <w:sz w:val="24"/>
        </w:rPr>
        <w:t>Paustian</w:t>
      </w:r>
      <w:proofErr w:type="spellEnd"/>
      <w:r w:rsidR="00B75228">
        <w:rPr>
          <w:rFonts w:ascii="Arial" w:hAnsi="Arial" w:cs="Arial"/>
          <w:b/>
          <w:sz w:val="24"/>
        </w:rPr>
        <w:t xml:space="preserve"> (2017)</w:t>
      </w:r>
    </w:p>
    <w:p w:rsidR="00090AB0" w:rsidRDefault="0081683B" w:rsidP="00907B4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Paoli and </w:t>
      </w:r>
      <w:proofErr w:type="spellStart"/>
      <w:r>
        <w:rPr>
          <w:rFonts w:ascii="Arial" w:hAnsi="Arial" w:cs="Arial"/>
          <w:sz w:val="24"/>
        </w:rPr>
        <w:t>Paustian</w:t>
      </w:r>
      <w:proofErr w:type="spellEnd"/>
      <w:r>
        <w:rPr>
          <w:rFonts w:ascii="Arial" w:hAnsi="Arial" w:cs="Arial"/>
          <w:sz w:val="24"/>
        </w:rPr>
        <w:t xml:space="preserve"> (2017)</w:t>
      </w:r>
      <w:r w:rsidR="00100AAD" w:rsidRPr="00394577">
        <w:rPr>
          <w:rFonts w:ascii="Arial" w:hAnsi="Arial" w:cs="Arial"/>
          <w:sz w:val="24"/>
        </w:rPr>
        <w:t xml:space="preserve"> </w:t>
      </w:r>
      <w:r w:rsidR="00090AB0">
        <w:rPr>
          <w:rFonts w:ascii="Arial" w:hAnsi="Arial" w:cs="Arial"/>
          <w:sz w:val="24"/>
        </w:rPr>
        <w:t xml:space="preserve">study optimal monetary and </w:t>
      </w:r>
      <w:proofErr w:type="spellStart"/>
      <w:r w:rsidR="00090AB0">
        <w:rPr>
          <w:rFonts w:ascii="Arial" w:hAnsi="Arial" w:cs="Arial"/>
          <w:sz w:val="24"/>
        </w:rPr>
        <w:t>macrorprudential</w:t>
      </w:r>
      <w:proofErr w:type="spellEnd"/>
      <w:r w:rsidR="00090AB0">
        <w:rPr>
          <w:rFonts w:ascii="Arial" w:hAnsi="Arial" w:cs="Arial"/>
          <w:sz w:val="24"/>
        </w:rPr>
        <w:t xml:space="preserve"> policies in </w:t>
      </w:r>
      <w:r w:rsidR="00100AAD" w:rsidRPr="00394577">
        <w:rPr>
          <w:rFonts w:ascii="Arial" w:hAnsi="Arial" w:cs="Arial"/>
          <w:sz w:val="24"/>
        </w:rPr>
        <w:t>a small-scale calibrated New Keynesia</w:t>
      </w:r>
      <w:r w:rsidR="00B62970" w:rsidRPr="00394577">
        <w:rPr>
          <w:rFonts w:ascii="Arial" w:hAnsi="Arial" w:cs="Arial"/>
          <w:sz w:val="24"/>
        </w:rPr>
        <w:t xml:space="preserve">n DSGE model with </w:t>
      </w:r>
      <w:r w:rsidR="00090AB0">
        <w:rPr>
          <w:rFonts w:ascii="Arial" w:hAnsi="Arial" w:cs="Arial"/>
          <w:sz w:val="24"/>
        </w:rPr>
        <w:t xml:space="preserve">a moral hazard problem between banks and depositors in the spirit of </w:t>
      </w:r>
      <w:proofErr w:type="spellStart"/>
      <w:r w:rsidR="00090AB0">
        <w:rPr>
          <w:rFonts w:ascii="Arial" w:hAnsi="Arial" w:cs="Arial"/>
          <w:sz w:val="24"/>
        </w:rPr>
        <w:t>Gertler</w:t>
      </w:r>
      <w:proofErr w:type="spellEnd"/>
      <w:r w:rsidR="00090AB0">
        <w:rPr>
          <w:rFonts w:ascii="Arial" w:hAnsi="Arial" w:cs="Arial"/>
          <w:sz w:val="24"/>
        </w:rPr>
        <w:t xml:space="preserve"> and </w:t>
      </w:r>
      <w:proofErr w:type="spellStart"/>
      <w:r w:rsidR="00090AB0">
        <w:rPr>
          <w:rFonts w:ascii="Arial" w:hAnsi="Arial" w:cs="Arial"/>
          <w:sz w:val="24"/>
        </w:rPr>
        <w:t>Karadi</w:t>
      </w:r>
      <w:proofErr w:type="spellEnd"/>
      <w:r w:rsidR="00090AB0">
        <w:rPr>
          <w:rFonts w:ascii="Arial" w:hAnsi="Arial" w:cs="Arial"/>
          <w:sz w:val="24"/>
        </w:rPr>
        <w:t xml:space="preserve"> (2011).</w:t>
      </w:r>
      <w:r w:rsidR="00907B41">
        <w:rPr>
          <w:rFonts w:ascii="Arial" w:hAnsi="Arial" w:cs="Arial"/>
          <w:sz w:val="24"/>
        </w:rPr>
        <w:t xml:space="preserve"> The </w:t>
      </w:r>
      <w:r w:rsidR="00907B41" w:rsidRPr="00907B41">
        <w:rPr>
          <w:rFonts w:ascii="Arial" w:hAnsi="Arial" w:cs="Arial"/>
          <w:sz w:val="24"/>
        </w:rPr>
        <w:t>possibility of banks diverting funds from depositors imp</w:t>
      </w:r>
      <w:r w:rsidR="00907B41">
        <w:rPr>
          <w:rFonts w:ascii="Arial" w:hAnsi="Arial" w:cs="Arial"/>
          <w:sz w:val="24"/>
        </w:rPr>
        <w:t xml:space="preserve">lies that banks are constrained </w:t>
      </w:r>
      <w:r w:rsidR="00907B41" w:rsidRPr="00907B41">
        <w:rPr>
          <w:rFonts w:ascii="Arial" w:hAnsi="Arial" w:cs="Arial"/>
          <w:sz w:val="24"/>
        </w:rPr>
        <w:t>in the amount they can lend to firms. This financia</w:t>
      </w:r>
      <w:r w:rsidR="00907B41">
        <w:rPr>
          <w:rFonts w:ascii="Arial" w:hAnsi="Arial" w:cs="Arial"/>
          <w:sz w:val="24"/>
        </w:rPr>
        <w:t xml:space="preserve">l friction motivates the use of </w:t>
      </w:r>
      <w:r w:rsidR="00F416A8">
        <w:rPr>
          <w:rFonts w:ascii="Arial" w:hAnsi="Arial" w:cs="Arial"/>
          <w:sz w:val="24"/>
        </w:rPr>
        <w:t xml:space="preserve">macroprudential instruments. </w:t>
      </w:r>
    </w:p>
    <w:p w:rsidR="00440419" w:rsidRPr="00090AB0" w:rsidRDefault="0089495E" w:rsidP="00090AB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090AB0">
        <w:rPr>
          <w:rFonts w:ascii="Arial" w:hAnsi="Arial" w:cs="Arial"/>
          <w:sz w:val="24"/>
        </w:rPr>
        <w:t xml:space="preserve">Aggregate demand: </w:t>
      </w:r>
      <w:r w:rsidR="00440419" w:rsidRPr="00090AB0">
        <w:rPr>
          <w:rFonts w:ascii="Arial" w:hAnsi="Arial" w:cs="Arial"/>
          <w:sz w:val="24"/>
        </w:rPr>
        <w:t xml:space="preserve">Households maximize their lifetime utility, where the per-period utility function is separable in consumption and two types of </w:t>
      </w:r>
      <w:r w:rsidR="00D568D3" w:rsidRPr="00090AB0">
        <w:rPr>
          <w:rFonts w:ascii="Arial" w:hAnsi="Arial" w:cs="Arial"/>
          <w:sz w:val="24"/>
        </w:rPr>
        <w:t>labour</w:t>
      </w:r>
      <w:r w:rsidR="004841A7">
        <w:rPr>
          <w:rFonts w:ascii="Arial" w:hAnsi="Arial" w:cs="Arial"/>
          <w:sz w:val="24"/>
        </w:rPr>
        <w:t xml:space="preserve">. They can hold deposits at financial intermediaries. </w:t>
      </w:r>
    </w:p>
    <w:p w:rsidR="00705316" w:rsidRPr="00394577" w:rsidRDefault="00FA4957" w:rsidP="0070531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94577">
        <w:rPr>
          <w:rFonts w:ascii="Arial" w:hAnsi="Arial" w:cs="Arial"/>
          <w:sz w:val="24"/>
        </w:rPr>
        <w:t xml:space="preserve">Aggregate Supply: </w:t>
      </w:r>
      <w:r w:rsidR="00CD2BD9">
        <w:rPr>
          <w:rFonts w:ascii="Arial" w:hAnsi="Arial" w:cs="Arial"/>
          <w:sz w:val="24"/>
        </w:rPr>
        <w:t xml:space="preserve">Intermediate </w:t>
      </w:r>
      <w:r w:rsidR="00440419" w:rsidRPr="00394577">
        <w:rPr>
          <w:rFonts w:ascii="Arial" w:hAnsi="Arial" w:cs="Arial"/>
          <w:sz w:val="24"/>
        </w:rPr>
        <w:t xml:space="preserve">firms combine both types of </w:t>
      </w:r>
      <w:r w:rsidR="00D568D3" w:rsidRPr="00394577">
        <w:rPr>
          <w:rFonts w:ascii="Arial" w:hAnsi="Arial" w:cs="Arial"/>
          <w:sz w:val="24"/>
        </w:rPr>
        <w:t>labour</w:t>
      </w:r>
      <w:r w:rsidR="00440419" w:rsidRPr="00394577">
        <w:rPr>
          <w:rFonts w:ascii="Arial" w:hAnsi="Arial" w:cs="Arial"/>
          <w:sz w:val="24"/>
        </w:rPr>
        <w:t xml:space="preserve"> into the intermediate good using a Cobb-Douglas production function. </w:t>
      </w:r>
      <w:r w:rsidR="00CD2BD9">
        <w:rPr>
          <w:rFonts w:ascii="Arial" w:hAnsi="Arial" w:cs="Arial"/>
          <w:sz w:val="24"/>
        </w:rPr>
        <w:t>The entrepreneurs operating the intermediate firms must pay the wage bill associated with one o</w:t>
      </w:r>
      <w:r w:rsidR="00890D9C">
        <w:rPr>
          <w:rFonts w:ascii="Arial" w:hAnsi="Arial" w:cs="Arial"/>
          <w:sz w:val="24"/>
        </w:rPr>
        <w:t xml:space="preserve">f the inputs before production. </w:t>
      </w:r>
      <w:r w:rsidR="00705316" w:rsidRPr="00394577">
        <w:rPr>
          <w:rFonts w:ascii="Arial" w:hAnsi="Arial" w:cs="Arial"/>
          <w:sz w:val="24"/>
        </w:rPr>
        <w:t xml:space="preserve">Monopolistically competitive final goods firms purchase intermediate goods from entrepreneurs and create final goods using a linear production function. Final goods pricing is subject to </w:t>
      </w:r>
      <w:proofErr w:type="spellStart"/>
      <w:r w:rsidR="00705316" w:rsidRPr="00394577">
        <w:rPr>
          <w:rFonts w:ascii="Arial" w:hAnsi="Arial" w:cs="Arial"/>
          <w:sz w:val="24"/>
        </w:rPr>
        <w:t>Rotemberg</w:t>
      </w:r>
      <w:proofErr w:type="spellEnd"/>
      <w:r w:rsidR="00705316" w:rsidRPr="00394577">
        <w:rPr>
          <w:rFonts w:ascii="Arial" w:hAnsi="Arial" w:cs="Arial"/>
          <w:sz w:val="24"/>
        </w:rPr>
        <w:t xml:space="preserve"> quadratic adjustment costs. The final goods are aggregated to an output bundle according to a </w:t>
      </w:r>
      <w:bookmarkStart w:id="0" w:name="_GoBack"/>
      <w:bookmarkEnd w:id="0"/>
      <w:r w:rsidR="00705316" w:rsidRPr="00394577">
        <w:rPr>
          <w:rFonts w:ascii="Arial" w:hAnsi="Arial" w:cs="Arial"/>
          <w:sz w:val="24"/>
        </w:rPr>
        <w:t xml:space="preserve">CES function. </w:t>
      </w:r>
    </w:p>
    <w:p w:rsidR="00440419" w:rsidRPr="00394577" w:rsidRDefault="00FB6092" w:rsidP="0006373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Financial intermediaries: </w:t>
      </w:r>
      <w:r w:rsidR="00890D9C">
        <w:rPr>
          <w:rFonts w:ascii="Arial" w:hAnsi="Arial" w:cs="Arial"/>
          <w:sz w:val="24"/>
        </w:rPr>
        <w:t xml:space="preserve">Banks lend to intermediate goods producers and collect deposit. They also receive a direct subsidy from the macroprudential authority. Bankers maximize terminal net wealth and have the possibility to divert a certain fraction of assets. </w:t>
      </w:r>
      <w:r w:rsidR="002B5671">
        <w:rPr>
          <w:rFonts w:ascii="Arial" w:hAnsi="Arial" w:cs="Arial"/>
          <w:sz w:val="24"/>
        </w:rPr>
        <w:t>This is yields an endogenous leverage constraint such that the incentive compatibility constraint is satisfied. Together with the borrowing-in-advance constraint, t</w:t>
      </w:r>
      <w:r w:rsidR="002B5671">
        <w:rPr>
          <w:rFonts w:ascii="Arial" w:hAnsi="Arial" w:cs="Arial"/>
          <w:sz w:val="24"/>
        </w:rPr>
        <w:t>his introduces a credit friction.</w:t>
      </w:r>
      <w:r w:rsidR="00440419" w:rsidRPr="00394577">
        <w:rPr>
          <w:rFonts w:ascii="Arial" w:hAnsi="Arial" w:cs="Arial"/>
          <w:sz w:val="24"/>
        </w:rPr>
        <w:t xml:space="preserve"> </w:t>
      </w:r>
    </w:p>
    <w:p w:rsidR="00394577" w:rsidRPr="00394577" w:rsidRDefault="00FA4957" w:rsidP="008949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94577">
        <w:rPr>
          <w:rFonts w:ascii="Arial" w:hAnsi="Arial" w:cs="Arial"/>
          <w:sz w:val="24"/>
        </w:rPr>
        <w:t xml:space="preserve">Shocks: A productivity shock, </w:t>
      </w:r>
      <w:r w:rsidR="00DE62B0" w:rsidRPr="00394577">
        <w:rPr>
          <w:rFonts w:ascii="Arial" w:hAnsi="Arial" w:cs="Arial"/>
          <w:sz w:val="24"/>
        </w:rPr>
        <w:t>a mark-up shock, a net worth shock</w:t>
      </w:r>
      <w:r w:rsidR="00375921">
        <w:rPr>
          <w:rFonts w:ascii="Arial" w:hAnsi="Arial" w:cs="Arial"/>
          <w:sz w:val="24"/>
        </w:rPr>
        <w:t>, a moral hazard shock</w:t>
      </w:r>
      <w:r w:rsidR="00014D95" w:rsidRPr="00394577">
        <w:rPr>
          <w:rFonts w:ascii="Arial" w:hAnsi="Arial" w:cs="Arial"/>
          <w:sz w:val="24"/>
        </w:rPr>
        <w:t xml:space="preserve"> and a </w:t>
      </w:r>
      <w:r w:rsidRPr="00394577">
        <w:rPr>
          <w:rFonts w:ascii="Arial" w:hAnsi="Arial" w:cs="Arial"/>
          <w:sz w:val="24"/>
        </w:rPr>
        <w:t>monetary policy shock.</w:t>
      </w:r>
      <w:r w:rsidR="00394577" w:rsidRPr="00394577">
        <w:rPr>
          <w:rFonts w:ascii="Arial" w:hAnsi="Arial" w:cs="Arial"/>
          <w:sz w:val="24"/>
        </w:rPr>
        <w:t xml:space="preserve"> </w:t>
      </w:r>
    </w:p>
    <w:p w:rsidR="00014D95" w:rsidRPr="00394577" w:rsidRDefault="00FA4957" w:rsidP="003945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94577">
        <w:rPr>
          <w:rFonts w:ascii="Arial" w:hAnsi="Arial" w:cs="Arial"/>
          <w:sz w:val="24"/>
        </w:rPr>
        <w:t xml:space="preserve">Calibration/Estimation: The model </w:t>
      </w:r>
      <w:r w:rsidR="00394577" w:rsidRPr="00394577">
        <w:rPr>
          <w:rFonts w:ascii="Arial" w:hAnsi="Arial" w:cs="Arial"/>
          <w:sz w:val="24"/>
        </w:rPr>
        <w:t xml:space="preserve">is calibrated using standard values in the literature, in particular following Woodford (2003). </w:t>
      </w:r>
      <w:r w:rsidR="00014D95" w:rsidRPr="00394577">
        <w:rPr>
          <w:rFonts w:ascii="Arial" w:hAnsi="Arial" w:cs="Arial"/>
          <w:sz w:val="24"/>
        </w:rPr>
        <w:t xml:space="preserve"> </w:t>
      </w:r>
      <w:r w:rsidR="000F6180">
        <w:rPr>
          <w:rFonts w:ascii="Arial" w:hAnsi="Arial" w:cs="Arial"/>
          <w:sz w:val="24"/>
        </w:rPr>
        <w:t xml:space="preserve">The steady-state credit spread is set to 2%, and steady-state bank leverage to 9. </w:t>
      </w:r>
    </w:p>
    <w:p w:rsidR="00FA4957" w:rsidRPr="00394577" w:rsidRDefault="00FA4957" w:rsidP="002702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94577">
        <w:rPr>
          <w:rFonts w:ascii="Arial" w:hAnsi="Arial" w:cs="Arial"/>
          <w:sz w:val="24"/>
        </w:rPr>
        <w:t xml:space="preserve">Replication: We </w:t>
      </w:r>
      <w:r w:rsidR="003E0CE6" w:rsidRPr="00394577">
        <w:rPr>
          <w:rFonts w:ascii="Arial" w:hAnsi="Arial" w:cs="Arial"/>
          <w:sz w:val="24"/>
        </w:rPr>
        <w:t>simulated</w:t>
      </w:r>
      <w:r w:rsidRPr="00394577">
        <w:rPr>
          <w:rFonts w:ascii="Arial" w:hAnsi="Arial" w:cs="Arial"/>
          <w:sz w:val="24"/>
        </w:rPr>
        <w:t xml:space="preserve"> the impulse response functions to a monetary policy shock </w:t>
      </w:r>
      <w:r w:rsidR="003E0CE6" w:rsidRPr="00394577">
        <w:rPr>
          <w:rFonts w:ascii="Arial" w:hAnsi="Arial" w:cs="Arial"/>
          <w:sz w:val="24"/>
        </w:rPr>
        <w:t xml:space="preserve">and </w:t>
      </w:r>
      <w:r w:rsidR="00D0386C" w:rsidRPr="00394577">
        <w:rPr>
          <w:rFonts w:ascii="Arial" w:hAnsi="Arial" w:cs="Arial"/>
          <w:sz w:val="24"/>
        </w:rPr>
        <w:t>a technology shock under a simple Taylor rule</w:t>
      </w:r>
      <w:r w:rsidR="00270249">
        <w:rPr>
          <w:rFonts w:ascii="Arial" w:hAnsi="Arial" w:cs="Arial"/>
          <w:sz w:val="24"/>
        </w:rPr>
        <w:t xml:space="preserve">. There are </w:t>
      </w:r>
      <w:r w:rsidR="00270249" w:rsidRPr="00270249">
        <w:rPr>
          <w:rFonts w:ascii="Arial" w:hAnsi="Arial" w:cs="Arial"/>
          <w:sz w:val="24"/>
        </w:rPr>
        <w:t xml:space="preserve">no IRFs in </w:t>
      </w:r>
      <w:r w:rsidR="00270249">
        <w:rPr>
          <w:rFonts w:ascii="Arial" w:hAnsi="Arial" w:cs="Arial"/>
          <w:sz w:val="24"/>
        </w:rPr>
        <w:t xml:space="preserve">the </w:t>
      </w:r>
      <w:r w:rsidR="00270249" w:rsidRPr="00270249">
        <w:rPr>
          <w:rFonts w:ascii="Arial" w:hAnsi="Arial" w:cs="Arial"/>
          <w:sz w:val="24"/>
        </w:rPr>
        <w:t xml:space="preserve">paper, </w:t>
      </w:r>
      <w:r w:rsidR="00270249">
        <w:rPr>
          <w:rFonts w:ascii="Arial" w:hAnsi="Arial" w:cs="Arial"/>
          <w:sz w:val="24"/>
        </w:rPr>
        <w:t xml:space="preserve">but the </w:t>
      </w:r>
      <w:r w:rsidR="00270249" w:rsidRPr="00270249">
        <w:rPr>
          <w:rFonts w:ascii="Arial" w:hAnsi="Arial" w:cs="Arial"/>
          <w:sz w:val="24"/>
        </w:rPr>
        <w:t xml:space="preserve">produced IRFs are in line with earlier working paper version and </w:t>
      </w:r>
      <w:r w:rsidR="00270249">
        <w:rPr>
          <w:rFonts w:ascii="Arial" w:hAnsi="Arial" w:cs="Arial"/>
          <w:sz w:val="24"/>
        </w:rPr>
        <w:t xml:space="preserve">the </w:t>
      </w:r>
      <w:r w:rsidR="00270249" w:rsidRPr="00270249">
        <w:rPr>
          <w:rFonts w:ascii="Arial" w:hAnsi="Arial" w:cs="Arial"/>
          <w:sz w:val="24"/>
        </w:rPr>
        <w:t>similar model NK_CFP10</w:t>
      </w:r>
      <w:r w:rsidR="00270249">
        <w:rPr>
          <w:rFonts w:ascii="Arial" w:hAnsi="Arial" w:cs="Arial"/>
          <w:sz w:val="24"/>
        </w:rPr>
        <w:t>.</w:t>
      </w:r>
      <w:r w:rsidR="00D0386C" w:rsidRPr="00394577">
        <w:rPr>
          <w:rFonts w:ascii="Arial" w:hAnsi="Arial" w:cs="Arial"/>
          <w:sz w:val="24"/>
        </w:rPr>
        <w:t xml:space="preserve"> </w:t>
      </w:r>
    </w:p>
    <w:sectPr w:rsidR="00FA4957" w:rsidRPr="00394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361F"/>
    <w:multiLevelType w:val="hybridMultilevel"/>
    <w:tmpl w:val="3B7C6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57"/>
    <w:rsid w:val="00014D95"/>
    <w:rsid w:val="0006373D"/>
    <w:rsid w:val="00090AB0"/>
    <w:rsid w:val="000F6180"/>
    <w:rsid w:val="00100AAD"/>
    <w:rsid w:val="00145F37"/>
    <w:rsid w:val="00270249"/>
    <w:rsid w:val="00295253"/>
    <w:rsid w:val="002B5671"/>
    <w:rsid w:val="002D55DC"/>
    <w:rsid w:val="00375921"/>
    <w:rsid w:val="00394577"/>
    <w:rsid w:val="003E0CE6"/>
    <w:rsid w:val="00440419"/>
    <w:rsid w:val="00446F75"/>
    <w:rsid w:val="004841A7"/>
    <w:rsid w:val="00705316"/>
    <w:rsid w:val="0081683B"/>
    <w:rsid w:val="00867809"/>
    <w:rsid w:val="00890D9C"/>
    <w:rsid w:val="0089495E"/>
    <w:rsid w:val="008A30DC"/>
    <w:rsid w:val="00907B41"/>
    <w:rsid w:val="00B62970"/>
    <w:rsid w:val="00B6663D"/>
    <w:rsid w:val="00B75228"/>
    <w:rsid w:val="00BF4FCD"/>
    <w:rsid w:val="00CD2BD9"/>
    <w:rsid w:val="00CD3E4B"/>
    <w:rsid w:val="00D0386C"/>
    <w:rsid w:val="00D568D3"/>
    <w:rsid w:val="00DE62B0"/>
    <w:rsid w:val="00F416A8"/>
    <w:rsid w:val="00FA4957"/>
    <w:rsid w:val="00FB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Central Bank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Lieberknecht, Philipp</dc:creator>
  <cp:lastModifiedBy>Lieberknecht, Philipp</cp:lastModifiedBy>
  <cp:revision>33</cp:revision>
  <dcterms:created xsi:type="dcterms:W3CDTF">2018-01-17T12:56:00Z</dcterms:created>
  <dcterms:modified xsi:type="dcterms:W3CDTF">2018-01-18T11:13:00Z</dcterms:modified>
</cp:coreProperties>
</file>