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AI Governance Policy</w:t>
      </w:r>
    </w:p>
    <w:p>
      <w:r>
        <w:t>Document ID: NW-AIGP-3.2</w:t>
      </w:r>
    </w:p>
    <w:p>
      <w:r>
        <w:t>Version: 3.2</w:t>
      </w:r>
    </w:p>
    <w:p>
      <w:r>
        <w:t>Effective date: 2026-04-01</w:t>
      </w:r>
    </w:p>
    <w:p>
      <w:r>
        <w:t>Classification: Internal policy</w:t>
      </w:r>
    </w:p>
    <w:p>
      <w:pPr>
        <w:pStyle w:val="Heading2"/>
      </w:pPr>
      <w:r>
        <w:t>Purpose</w:t>
      </w:r>
    </w:p>
    <w:p>
      <w:r>
        <w:t>This policy governs how Northwind Bank develops, validates, and operates artificial intelligence and machine learning systems. It is an internal control standard. Where this policy is quieter than applicable law or a formal regulator framework, the stricter requirement wins.</w:t>
      </w:r>
    </w:p>
    <w:p>
      <w:pPr>
        <w:pStyle w:val="Heading2"/>
      </w:pPr>
      <w:r>
        <w:t>Independent validation</w:t>
      </w:r>
    </w:p>
    <w:p>
      <w:r>
        <w:t>Every model in production must receive independent validation at least annually. The Model Risk Committee (MRC) is the approval authority for production use, material change, and retirement.</w:t>
      </w:r>
    </w:p>
    <w:p>
      <w:pPr>
        <w:pStyle w:val="Heading2"/>
      </w:pPr>
      <w:r>
        <w:t>Emergency exceptions</w:t>
      </w:r>
    </w:p>
    <w:p>
      <w:r>
        <w:t>The MRC may approve an emergency production exception. Emergency exceptions expire after ninety (90) days and cannot be silently renewed. A written close-out or a full validation is required before expiry.</w:t>
      </w:r>
    </w:p>
    <w:p>
      <w:pPr>
        <w:pStyle w:val="Heading2"/>
      </w:pPr>
      <w:r>
        <w:t>MEASURE function exemption</w:t>
      </w:r>
    </w:p>
    <w:p>
      <w:r>
        <w:t>AI systems with forecast annual spend under USD 250,000 are exempt from the MEASURE function of the NIST AI Risk Management Framework. GOVERN, MAP, and MANAGE still apply. This exemption is a Northwind cost-control choice and is not stated in NIST AI RMF 1.0.</w:t>
      </w:r>
    </w:p>
    <w:p>
      <w:pPr>
        <w:pStyle w:val="Heading2"/>
      </w:pPr>
      <w:r>
        <w:t>Generative AI</w:t>
      </w:r>
    </w:p>
    <w:p>
      <w:r>
        <w:t>Generative AI systems that draft customer-facing content require human review before send. The GenAI-Contract-Summarizer (NW-044) is in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