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B365D"/>
          <w:sz w:val="24"/>
          <w:szCs w:val="24"/>
        </w:rPr>
        <w:t xml:space="preserve">CENTRO ESTADUAL DE EDUCAÇÃO TECNOLÓGICA PAULA SOUZA
FATEC CAMPINAS — FACULDADE DE TECNOLOGIA DE CAMPINAS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CURSO SUPERIOR DE TECNOLOGIA EM ANÁLISE E DESENVOLVIMENTO DE SISTEMAS
DISCIPLINA: LABORATÓRIO DE ENGENHARIA DE SOFTWARE</w:t>
      </w:r>
    </w:p>
    <w:p>
      <w:pPr>
        <w:spacing w:after="200" w:before="400"/>
        <w:jc w:val="center"/>
      </w:pPr>
      <w:r>
        <w:rPr>
          <w:rFonts w:ascii="Arial" w:cs="Arial" w:eastAsia="Arial" w:hAnsi="Arial"/>
          <w:b/>
          <w:bCs/>
          <w:color w:val="1B365D"/>
          <w:sz w:val="44"/>
          <w:szCs w:val="44"/>
        </w:rPr>
        <w:t xml:space="preserve">NUTRIPLAN V2</w:t>
      </w:r>
    </w:p>
    <w:p>
      <w:pPr>
        <w:spacing w:after="300" w:before="0"/>
        <w:jc w:val="center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SISTEMA INTEGRADO DE MONTAGEM PERSONALIZADA DE DIETA E TREINO BASEADO EM EVIDÊNCIAS</w:t>
      </w:r>
    </w:p>
    <w:p>
      <w:pPr>
        <w:spacing w:after="1400" w:before="0"/>
        <w:jc w:val="center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ENTREGÁVEL 1: PROCESSO E PLANEJAMENTO DE SOFTWARE (PROJETO EM 5 FASES)</w:t>
      </w:r>
    </w:p>
    <w:p>
      <w:pPr>
        <w:spacing w:after="80" w:before="400"/>
        <w:jc w:val="right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Integrantes do Grupo:
Gustavo Meneses Ruegenberg Rodrigues
Fabiana Tiemi Watanabe</w:t>
      </w:r>
    </w:p>
    <w:p>
      <w:pPr>
        <w:spacing w:after="80" w:before="0"/>
        <w:jc w:val="right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Disciplina: Laboratório de Engenharia de Software</w:t>
      </w:r>
    </w:p>
    <w:p>
      <w:pPr>
        <w:spacing w:after="1200" w:before="0"/>
        <w:jc w:val="right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Curso: Tecnologia em Análise e Desenvolvimento de Sistemas (ADS)</w:t>
      </w:r>
    </w:p>
    <w:p>
      <w:pPr>
        <w:spacing w:after="0" w:before="600"/>
        <w:jc w:val="center"/>
      </w:pPr>
      <w:r>
        <w:rPr>
          <w:rFonts w:ascii="Arial" w:cs="Arial" w:eastAsia="Arial" w:hAnsi="Arial"/>
          <w:b/>
          <w:bCs/>
          <w:color w:val="64748B"/>
          <w:sz w:val="20"/>
          <w:szCs w:val="20"/>
        </w:rPr>
        <w:t xml:space="preserve">CAMPINAS — SP
OUTUBRO DE 2026</w:t>
      </w:r>
    </w:p>
    <w:p>
      <w:pPr>
        <w:pStyle w:val="Heading1"/>
        <w:pageBreakBefore/>
        <w:spacing w:after="160" w:before="400"/>
      </w:pPr>
      <w:r>
        <w:rPr>
          <w:rFonts w:ascii="Arial" w:cs="Arial" w:eastAsia="Arial" w:hAnsi="Arial"/>
          <w:b/>
          <w:bCs/>
          <w:color w:val="1B365D"/>
          <w:sz w:val="30"/>
          <w:szCs w:val="30"/>
        </w:rPr>
        <w:t xml:space="preserve">FOLHA DE ROSTO E CARACTERIZAÇÃO DO PROJETO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O presente documento técnico de Engenharia de Software constitui o primeiro entregável formal da disciplina de Engenharia de Software I. O artefato documenta integralmente a Fase 1 — Processo e Planejamento de Software do sistema NutriPlan v2, compreendendo a definição rigorosa do problema de domínio, a justificativa biomédica e social, o mapeamento exaustivo de stakeholders, a seleção e fundamentação do modelo de processo de software, o ciclo de vida detalhado, o plano de projeto (escopo, cronograma, responsabilidades e riscos) e os critérios de qualidade segundo a norma internacional ISO/IEC 25010.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none"/>
              <w:left w:val="single" w:color="16A34A" w:sz="24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5803D"/>
                <w:sz w:val="22"/>
                <w:szCs w:val="22"/>
              </w:rPr>
              <w:t xml:space="preserve">DECLARAÇÃO DE NATUREZA DO PROJETO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Este projeto acadêmico de software não se limita a prototipação conceitual: trata-se de um sistema em plena conformidade com a Engenharia de Software Moderna, implementado em arquitetura em camadas desacoplada (NestJS/TypeScript no backend relacional SQLite e React 19/Tailwind CSS v4 no frontend), com banco de 744 alimentos científicos da Tabela TACO (UNICAMP), 128 exercícios com biomecânica e suíte hermética de 61 testes automatizados aprovados com 100% de sucesso.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SUMÁRIO DAS SEÇÕES DO DOCUMENTO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1.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Seção 1: Definição do Problema (Contexto, Dores, Lacuna Científica e Formulação)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2.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Seção 2: Justificativa do Sistema (Proposta de Valor, Modelos Biomédicos e Viabilidade)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3.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Seção 3: Identificação e Gestão dos Stakeholders (Caracterização e Matriz de Mendelow)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4.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Seção 4: Modelo de Processo Adotado (Processo Híbrido Incremental com Práticas XP/Scrum)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5.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Seção 5: Definição do Ciclo de Vida do Software (Fases, Quality Gates e Artefatos)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6.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Seção 6: Plano de Projeto (Declaração de Escopo, EAP, Cronograma de 16 Semanas, RACI e Riscos)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7.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Seção 7: Critérios e Métricas de Qualidade de Software (Modelo ISO/IEC 25010 e KPIs)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8.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Seção 8: Considerações Finais da Fase 1 e Transição para a Fase 2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9.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Referências Bibliográficas (Normas ABNT)</w:t>
      </w:r>
    </w:p>
    <w:p>
      <w:pPr>
        <w:pStyle w:val="Heading1"/>
        <w:pageBreakBefore/>
        <w:spacing w:after="160" w:before="400"/>
      </w:pPr>
      <w:r>
        <w:rPr>
          <w:rFonts w:ascii="Arial" w:cs="Arial" w:eastAsia="Arial" w:hAnsi="Arial"/>
          <w:b/>
          <w:bCs/>
          <w:color w:val="1B365D"/>
          <w:sz w:val="30"/>
          <w:szCs w:val="30"/>
        </w:rPr>
        <w:t xml:space="preserve">1. DEFINIÇÃO DO PROBLEMA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1.1. Contexto e Relevância Social e Biomédica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 busca por saúde, longevidade, recomposição corporal e melhora no desempenho físico cresceu exponencialmente nas últimas décadas. Segundo a Organização Mundial da Saúde (OMS) e o Ministério da Saúde do Brasil, a prática regular de exercícios com sobrecarga (musculação) aliada a um plano nutricional balanceado constitui a principal intervenção não farmacológica contra doenças crônicas não transmissíveis (DCNTs), como obesidade, diabetes tipo 2, hipertensão arterial sistêmica e sarcopenia precoce.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Apesar do vasto consenso científico sobre a necessidade de conciliar alimentação e treino, a população em geral enfrenta severas barreiras para transformar esse conhecimento em rotinas consistentes e sustentáveis ao longo do tempo.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1.2. Dores do Usuário e Ineficiência das Soluções Existentes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 análise de campo e o levantamento de contexto evidenciaram um conjunto crítico de dores que afetam tanto praticantes autônomos quanto indivíduos sob supervisão profissional: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a)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Sobrecarga cognitiva e desistência prematura: Estima-se que mais de 60% dos novos frequentadores de academias e iniciantes em reeducação alimentar abandonam suas rotinas nos primeiros três meses de prática. A principal causa reside na extrema fricção e complexidade em pesar alimentos, calcular macronutrientes (proteínas, carboidratos e lipídios), correlacionar calorias com o gasto energético total e controlar manualmente a progressão de cargas e séries.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b)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Desinformação e dietas da moda: A proliferação de protocolos nutricionais sem embasamento fisiológico nas redes sociais (dietas extremamente restritivas, jejuns descontrolados, privação severa de carboidratos) gera quadros de compulsão alimentar, perda severa de massa muscular (catabolismo) e desaceleração metabólica.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c)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Treinos aleatórios e risco biomecânico: Sem orientação estruturada, usuários recorrem a fichas genéricas ou intercalam exercícios sem critério de volume semanal por grupamento muscular, descanso entre séries ou adaptação para dores articulares e lesões preexistentes.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1.3. A Lacuna Nutricional Científica Brasileira (Tabela TACO)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Um dos problemas mais graves identificados nos aplicativos internacionais líderes de mercado (como MyFitnessPal, FatSecret e Cronometer) é a completa desarmonia com os hábitos alimentares e padrões de medição brasileiros: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•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Bancos de dados poluídos e não confiáveis: Tais ferramentas permitem que qualquer usuário cadastre alimentos sem moderação, resultando em dados inconsistentes (por exemplo, registros do mesmo alimento com diferenças de mais de 400% na quantidade de calorias e teores de sódio zerados).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•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Ausência da Tabela TACO: O padrão ouro da ciência dos alimentos no Brasil é a Tabela Brasileira de Composição de Alimentos (TACO), desenvolvida pelo Núcleo de Estudos e Pesquisas em Alimentação (NEPA) da UNICAMP. Os aplicativos existentes não operam prioritariamente com a TACO, forçando o cidadão brasileiro a registrar marcas industriais norte-americanas incompatíveis com preparações típicas (arroz branco cozido, feijão carioca, mandioca, cortes bovinos e aves nacionais).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1.4. Riscos à Saúde e Ausência de Supervisão Profissional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 automação de dietas e treinos sem mecanismos de segurança oferece riscos severos à integridade biológica do usuário. Softwares comerciais frequentemente incentivam déficits calóricos perigosos (abaixo de 1.000 kcal diárias para adultos), ignoram alergias a amendoim, glúten ou intolerância à lactose, e não possuem canais formais de comunicação com nutricionistas e educadores físicos habilitados.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1.5. Formulação Formal do Problema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none"/>
              <w:left w:val="single" w:color="DC2626" w:sz="24"/>
              <w:bottom w:val="none"/>
              <w:right w:val="none"/>
            </w:tcBorders>
            <w:shd w:fill="FE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B91C1C"/>
                <w:sz w:val="22"/>
                <w:szCs w:val="22"/>
              </w:rPr>
              <w:t xml:space="preserve">ENUNCIADO FORMAL DO PROBLEMA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"Como projetar e implementar um sistema computacional integrado, cientificamente fundamentado e ergonomicamente intuitivo, capaz de calcular com precisão matemática a Taxa Metabólica Basal (TMB) e Gasto Energético Total (TDEE), montar e recalcular automaticamente dietas individualizadas baseadas na Tabela TACO (744 alimentos), prescrever rotinas estruturadas de treino por grupamento muscular com cronômetro em tempo real, garantir proteção de dados e integridade de histórico, mantendo conformidade estrita com as diretrizes éticas e de Engenharia de Software?"</w:t>
            </w:r>
          </w:p>
        </w:tc>
      </w:tr>
    </w:tbl>
    <w:p>
      <w:pPr>
        <w:pStyle w:val="Heading1"/>
        <w:pageBreakBefore/>
        <w:spacing w:after="160" w:before="400"/>
      </w:pPr>
      <w:r>
        <w:rPr>
          <w:rFonts w:ascii="Arial" w:cs="Arial" w:eastAsia="Arial" w:hAnsi="Arial"/>
          <w:b/>
          <w:bCs/>
          <w:color w:val="1B365D"/>
          <w:sz w:val="30"/>
          <w:szCs w:val="30"/>
        </w:rPr>
        <w:t xml:space="preserve">2. JUSTIFICATIVA DO SISTEMA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2.1. Proposta de Valor e Inovação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O NutriPlan v2 justifica-se pela urgente necessidade de superar a fragmentação existente entre planejamento dietético e prescrição de treinamento físico. Ao consolidar em uma arquitetura unificada o motor de cálculo nutricional científico e a periodização do treinamento musculoesquelético, o sistema oferece ao usuário clareza, previsibilidade e consistência.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2.2. Fundamentação Científica e Modelos Matemáticos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Diferentemente de sistemas que utilizam aproximações empíricas não documentadas, o NutriPlan v2 baseia-se estritamente na literatura médica e bioquímica consolidada: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1.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Taxa Metabólica Basal (TMB): Aplicação da equação de Mifflin-St Jeor (1990), reconhecida pela American Dietetic Association (ADA) como a fórmula mais acurada para indivíduos adultos contemporâneos:
• Homens: TMB = (10 × peso em kg) + (6.25 × altura em cm) - (5 × idade) + 5
• Mulheres: TMB = (10 × peso em kg) + (6.25 × altura em cm) - (5 × idade) - 161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2.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Gasto Energético Total Diário (TDEE): Ponderação rigorosa pelos 5 fatores de atividade física padronizados pela FAO/OMS (1.20 para sedentários até 1.90 para praticantes de atividade física intensa diária).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3.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Pisos Biológicos de Segurança Nutricional: Implementação mandatória de piso calórico inegociável (1.200 kcal para mulheres e 1.500 kcal para homens), impedindo a prescrição de dietas de subnutrição lesivas à tireoide e ao sistema endócrino.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4.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Proporcionalidade da Base TACO: Todos os 744 alimentos operam sob a base de 100g de porção comestível, permitindo que o sistema calcule instantaneamente proporções matemáticas contínuas para porções arbitrárias (ex.: 135g) sem arredondamentos distorcidos.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2.3. Sinergia entre Nutrição e Treinamento Físico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 síntese proteica muscular (hipertrofia) e a oxidação de gorduras (lipólise) são processos fisiológicos interdependentes. Uma dieta com superávit calórico sem estímulo tensional resistido gera acúmulo de gordura corporal; inversamente, um treino de musculação extenuante sob déficit calórico não planejado conduz ao catabolismo muscular e lesão por esforço repetitivo. A justificativa técnica do NutriPlan v2 repousa no alinhamento simultâneo entre macronutrientes da dieta e divisão do volume de treino.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2.4. Análise de Viabilidade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4990"/>
        <w:gridCol w:w="1814"/>
      </w:tblGrid>
      <w:tr>
        <w:trPr>
          <w:tblHeader/>
        </w:trPr>
        <w:tc>
          <w:tcPr>
            <w:tcW w:type="pct" w:w="12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Dimensão de Viabilidade</w:t>
            </w:r>
          </w:p>
        </w:tc>
        <w:tc>
          <w:tcPr>
            <w:tcW w:type="pct" w:w="27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Análise Técnica no NutriPlan v2</w:t>
            </w:r>
          </w:p>
        </w:tc>
        <w:tc>
          <w:tcPr>
            <w:tcW w:type="pct" w:w="10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Parecer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Viabilidade Técnica</w:t>
            </w:r>
          </w:p>
        </w:tc>
        <w:tc>
          <w:tcPr>
            <w:tcW w:type="pct" w:w="2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Uso de tecnologias consolidadas (Node 24, NestJS, SQLite com PRAGMA foreign_keys, React 19, TypeScript). Arquitetura local de banco permite execução rápida e sem custos de nuvem de terceiros.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TOTALMENTE VIÁVEL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Viabilidade Econômica</w:t>
            </w:r>
          </w:p>
        </w:tc>
        <w:tc>
          <w:tcPr>
            <w:tcW w:type="pct" w:w="2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Desenvolvimento baseado em software livre de código aberto (FOSS). Custo operacional zero para prototipação e homologação acadêmica.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TOTALMENTE VIÁVEL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Viabilidade Operacional</w:t>
            </w:r>
          </w:p>
        </w:tc>
        <w:tc>
          <w:tcPr>
            <w:tcW w:type="pct" w:w="2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Interfaces projetadas com alta usabilidade, botões com alvo tátil ≥ 40x40px, vocabulário em português desprovido de termos técnicos internos.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TOTALMENTE VIÁVEL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Viabilidade Jurídica / Ética</w:t>
            </w:r>
          </w:p>
        </w:tc>
        <w:tc>
          <w:tcPr>
            <w:tcW w:type="pct" w:w="2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Presença mandatória de disclaimer legal (RN27) indicando ferramenta de apoio educacional que não substitui médico ou nutricionista.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TOTALMENTE VIÁVEL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2.5. Conformidade Ética e Isenção Médica Obrigatória (RN27)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Em estrito cumprimento às resoluções do Conselho Federal de Nutricionistas (CFN) e do Conselho Federal de Educação Física (CONFEF), o NutriPlan v2 implementa avisos visuais ostensivos declarando que o software fornece estimativas educacionais e organizacionais. Ademais, o sistema incorpora portal de credenciamento e verificação de registro profissional (CRN/CREF), viabilizando o contato formal e a supervisão clínica humanizada.</w:t>
      </w:r>
    </w:p>
    <w:p>
      <w:pPr>
        <w:pStyle w:val="Heading1"/>
        <w:pageBreakBefore/>
        <w:spacing w:after="160" w:before="400"/>
      </w:pPr>
      <w:r>
        <w:rPr>
          <w:rFonts w:ascii="Arial" w:cs="Arial" w:eastAsia="Arial" w:hAnsi="Arial"/>
          <w:b/>
          <w:bCs/>
          <w:color w:val="1B365D"/>
          <w:sz w:val="30"/>
          <w:szCs w:val="30"/>
        </w:rPr>
        <w:t xml:space="preserve">3. IDENTIFICAÇÃO E GESTÃO DOS STAKEHOLDERS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3.1. Identificação dos Grupos de Interesse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Em Engenharia de Software, a identificação precoce e detalhada dos stakeholders (partes interessadas) é indispensável para elicitar requisitos autênticos, antecipar conflitos de interesses e estabelecer critérios objetivos de aceitação do produto. O ecossistema do NutriPlan v2 engloba sete perfis primários e secundários.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3.2. Caracterização Detalhada dos Stakeholders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3"/>
        <w:gridCol w:w="1633"/>
        <w:gridCol w:w="3447"/>
        <w:gridCol w:w="1089"/>
        <w:gridCol w:w="1270"/>
      </w:tblGrid>
      <w:tr>
        <w:trPr>
          <w:tblHeader/>
        </w:trPr>
        <w:tc>
          <w:tcPr>
            <w:tcW w:type="pct" w:w="9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Stakeholder</w:t>
            </w:r>
          </w:p>
        </w:tc>
        <w:tc>
          <w:tcPr>
            <w:tcW w:type="pct" w:w="9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 no Sistema</w:t>
            </w:r>
          </w:p>
        </w:tc>
        <w:tc>
          <w:tcPr>
            <w:tcW w:type="pct" w:w="19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Necessidades e Expectativas Principais</w:t>
            </w:r>
          </w:p>
        </w:tc>
        <w:tc>
          <w:tcPr>
            <w:tcW w:type="pct" w:w="6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Poder</w:t>
            </w:r>
          </w:p>
        </w:tc>
        <w:tc>
          <w:tcPr>
            <w:tcW w:type="pct" w:w="7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Interesse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Usuário Comum (Praticante)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Usuário final primário da plataforma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Calcular metas nutricionais, montar dietas sem burocracia com a TACO, escolher rotinas de treino e cronometrar séries.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Médio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Muito Alto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Nutricionista Credenciado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Profissional de saúde (CRN)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Base de alimentos confiável (sem adulterações), acompanhamento de clientes e validação de restrições alimentares.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Alto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Alto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Educador Físico / Treinador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Profissional de educação física (CREF)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Catálogo biomecânico com exercícios categorizados, prescrição de rotinas A/B/C e monitoramento do histórico de cargas.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Alto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Alto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Administrador do Sistema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Gestor operacional e de auditoria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Visualizar métricas consolidadas, moderar contas, auditar cadastros de profissionais e garantir a segurança geral.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Muito Alto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Médio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Equipe de Engenharia / Devs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Desenvolvedores e arquitetos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Código limpo, arquitetura desacoplada, tipagem estrita, banco relacional ACID e 100% de testes automatizados passando.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Alto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Muito Alto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Corpo Docente / Banca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Avaliadores acadêmicos da disciplina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Rastreabilidade estrita entre requisitos, regras de negócio e testes, cumprimento do modelo de processo e relatórios formais.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Muito Alto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Muito Alto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Conselhos Profissionais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Órgãos reguladores (CFN, CONFEF)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Não invasão do exercício privativo da profissão, presença clara de termos de isenção médica e proteção de dados.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Muito Alto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Baixo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3.3. Matriz Poder versus Interesse (Mendelow)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 Matriz de Mendelow orienta a estratégia de comunicação e gestão das expectativas de cada grupo durante o ciclo de vida do projeto: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•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Gerenciar com Atenção Prioritária (Alto Poder, Alto Interesse): Corpo Docente/Avaliadores da disciplina e Usuários Finais.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•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Manter Satisfeitos (Alto Poder, Baixo Interesse): Conselhos Profissionais (CFN/CONFEF) e Administradores do Sistema.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•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Manter Informados (Baixo Poder, Alto Interesse): Nutricionistas e Treinadores parceiros.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•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Monitorar (Baixo Poder, Baixo Interesse): Usuários esporádicos e visitantes da plataforma.</w:t>
      </w:r>
    </w:p>
    <w:p>
      <w:pPr>
        <w:pStyle w:val="Heading1"/>
        <w:pageBreakBefore/>
        <w:spacing w:after="160" w:before="400"/>
      </w:pPr>
      <w:r>
        <w:rPr>
          <w:rFonts w:ascii="Arial" w:cs="Arial" w:eastAsia="Arial" w:hAnsi="Arial"/>
          <w:b/>
          <w:bCs/>
          <w:color w:val="1B365D"/>
          <w:sz w:val="30"/>
          <w:szCs w:val="30"/>
        </w:rPr>
        <w:t xml:space="preserve">4. MODELO DE PROCESSO ADOTADO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4.1. Avaliação Crítica dos Modelos de Processo de Software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Para determinar o modelo de desenvolvimento mais adequado ao NutriPlan v2, realizou-se uma avaliação comparativa dos principais paradigmas da Engenharia de Software: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1.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Modelo em Cascata (Waterfall): Rigoroso e sequencial, porém excessivamente rígido frente a refinamentos nos algoritmos matemáticos de balanceamento e ajustes na interface com usuário.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2.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Modelo em Espiral: Excelente para análise aprofundada de riscos, porém com custo de gerenciamento e documentação desproporcional para um ciclo acadêmico de um semestre.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3.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Modelo Puramente Ágil (Scrum/Kanban informal): Rápido e iterativo, mas frequentemente negligencia artefatos formais de Engenharia de Software exigidos pela academia (como matrizes formais de rastreabilidade e dicionários de dados).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4.2. Seleção: Modelo Híbrido Incremental com Práticas Ágeis (XP/Scrum)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Adotou-se o Modelo Híbrido Incremental impulsionado por práticas selecionadas de Extreme Programming (XP) e cerimônias adaptadas do Scrum. Esta escolha conjuga o rigor de controle e entrega estruturada de artefatos com a flexibilidade da prototipação rápida e evolução orientada a testes.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none"/>
              <w:left w:val="single" w:color="16A34A" w:sz="24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5803D"/>
                <w:sz w:val="22"/>
                <w:szCs w:val="22"/>
              </w:rPr>
              <w:t xml:space="preserve">JUSTIFICATIVA TÉCNICA DO PROCESSO ADOTADO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 desenvolvimento incremental permite que o NutriPlan v2 forneça subsistemas completamente funcionais e verificáveis ao término de cada ciclo. A camada de segurança e banco de dados é consolidada no primeiro incremento; em seguida, entrega-se o motor nutricional; posteriormente, os montadores de dieta e treino; e, por fim, a governança e auditoria. As práticas de XP (TDD, refatoração contínua e padrões arquiteturais estritos) garantem taxa zero de regressão.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4.3. Práticas de Engenharia Incorporadas ao Processo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a)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Desenvolvimento Orientado a Testes (TDD / Test-First nos Cálculos): Os 61 testes automatizados foram especificados e implementados em estreita simbiose com as regras de negócio, assegurando que fórmulas biomédicas operem sem desvios.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b)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Refatoração Contínua (Refactoring): Código constantemente higienizado para eliminar duplicações, remover dependências vulneráveis e manter tempo de compilação inferior a 2 segundos.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c)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Design Simples e Arquitetura em Camadas: Princípios de Clean Code, MVC e DDD (Domain-Driven Design), desacoplando lógica de domínio de detalhes de frameworks HTTP.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d)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Integração Contínua (Continuous Integration): Execução compulsória de suítes de teste antes de cada commit e sincronização com o repositório remoto no GitHub.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4.4. Mapeamento dos Incrementos do Produto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2268"/>
        <w:gridCol w:w="3629"/>
        <w:gridCol w:w="1814"/>
      </w:tblGrid>
      <w:tr>
        <w:trPr>
          <w:tblHeader/>
        </w:trPr>
        <w:tc>
          <w:tcPr>
            <w:tcW w:type="pct" w:w="7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Incremento</w:t>
            </w:r>
          </w:p>
        </w:tc>
        <w:tc>
          <w:tcPr>
            <w:tcW w:type="pct" w:w="12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Objetivo do Ciclo</w:t>
            </w:r>
          </w:p>
        </w:tc>
        <w:tc>
          <w:tcPr>
            <w:tcW w:type="pct" w:w="20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Funcionalidades Entregues</w:t>
            </w:r>
          </w:p>
        </w:tc>
        <w:tc>
          <w:tcPr>
            <w:tcW w:type="pct" w:w="10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Artefatos de Saída</w:t>
            </w:r>
          </w:p>
        </w:tc>
      </w:tr>
      <w:tr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Incremento 1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Infraestrutura e Autenticação</w:t>
            </w:r>
          </w:p>
        </w:tc>
        <w:tc>
          <w:tcPr>
            <w:tcW w:type="pct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Schema relacional SQLite com 17 tabelas, autenticação Bcrypt, emissão de JWT, perfil antropométrico.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Módulo Auth, Repositórios, TEST-AUTH (6 testes).</w:t>
            </w:r>
          </w:p>
        </w:tc>
      </w:tr>
      <w:tr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Incremento 2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Motor Nutricional e Base TACO</w:t>
            </w:r>
          </w:p>
        </w:tc>
        <w:tc>
          <w:tcPr>
            <w:tcW w:type="pct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Cálculo TMB/TDEE, ingestão de 744 alimentos TACO no banco, cálculo proporcional para 100g e taxonomia.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Módulos Nutrition e Foods, TEST-NUTRI/FOOD (14 testes).</w:t>
            </w:r>
          </w:p>
        </w:tc>
      </w:tr>
      <w:tr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Incremento 3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Montador de Dietas e Solver</w:t>
            </w:r>
          </w:p>
        </w:tc>
        <w:tc>
          <w:tcPr>
            <w:tcW w:type="pct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Montagem manual e assistida de dietas com solver estrito (tolerâncias ≤5% kcal/P e ≤8% C/G), alertas de alergias.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Módulo Diets, TEST-DIET (9 testes).</w:t>
            </w:r>
          </w:p>
        </w:tc>
      </w:tr>
      <w:tr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Incremento 4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Catálogo e Montador de Treinos</w:t>
            </w:r>
          </w:p>
        </w:tc>
        <w:tc>
          <w:tcPr>
            <w:tcW w:type="pct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Catálogo de 128 exercícios, 3 sugestões estruturadas (A, B, C), cronômetro em tempo real e histórico imutável.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Módulo Workouts, TEST-WORK/LOG (12 testes).</w:t>
            </w:r>
          </w:p>
        </w:tc>
      </w:tr>
      <w:tr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Incremento 5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Governança, RBAC e Publicação</w:t>
            </w:r>
          </w:p>
        </w:tc>
        <w:tc>
          <w:tcPr>
            <w:tcW w:type="pct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Portal profissional com CRN/CREF, painel administrativo, auditoria, remoção de débitos técnicos e deploy.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Módulos Admin e Messages, 61 testes integrados.</w:t>
            </w:r>
          </w:p>
        </w:tc>
      </w:tr>
    </w:tbl>
    <w:p>
      <w:pPr>
        <w:pStyle w:val="Heading1"/>
        <w:pageBreakBefore/>
        <w:spacing w:after="160" w:before="400"/>
      </w:pPr>
      <w:r>
        <w:rPr>
          <w:rFonts w:ascii="Arial" w:cs="Arial" w:eastAsia="Arial" w:hAnsi="Arial"/>
          <w:b/>
          <w:bCs/>
          <w:color w:val="1B365D"/>
          <w:sz w:val="30"/>
          <w:szCs w:val="30"/>
        </w:rPr>
        <w:t xml:space="preserve">5. DEFINIÇÃO DO CICLO DE VIDA DO SOFTWARE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5.1. Fases do Ciclo de Vida do NutriPlan v2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O ciclo de vida do software define a sequência temporal de estados e processos pelos quais o produto transita desde a sua concepção inicial até a sua desativação planejada. O NutriPlan v2 estrutura-se em sete fases fundamentais: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1996"/>
        <w:gridCol w:w="3084"/>
        <w:gridCol w:w="1996"/>
      </w:tblGrid>
      <w:tr>
        <w:trPr>
          <w:tblHeader/>
        </w:trPr>
        <w:tc>
          <w:tcPr>
            <w:tcW w:type="pct" w:w="11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 do Ciclo de Vida</w:t>
            </w:r>
          </w:p>
        </w:tc>
        <w:tc>
          <w:tcPr>
            <w:tcW w:type="pct" w:w="11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Entradas</w:t>
            </w:r>
          </w:p>
        </w:tc>
        <w:tc>
          <w:tcPr>
            <w:tcW w:type="pct" w:w="17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Principais</w:t>
            </w:r>
          </w:p>
        </w:tc>
        <w:tc>
          <w:tcPr>
            <w:tcW w:type="pct" w:w="11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Saídas / Artefatos Gerados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I. Concepção e Planejamento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Ideia inicial e problemas de nutrição/treino no mercado.</w:t>
            </w:r>
          </w:p>
        </w:tc>
        <w:tc>
          <w:tcPr>
            <w:tcW w:type="pct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Definição do problema, justificativa, stakeholders, seleção do modelo de processo, cronograma e riscos.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Documento da Fase 1 (este entregável), Matriz RACI, EAP.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II. Engenharia de Requisitos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Necessidades dos stakeholders e fórmulas médicas.</w:t>
            </w:r>
          </w:p>
        </w:tc>
        <w:tc>
          <w:tcPr>
            <w:tcW w:type="pct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Elicitação detalhada, especificação formal de 38 RFs, 10 RNFs e 29 Regras de Negócio.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REQUISITOS.md, REGRAS_DE_NEGOCIO.md, Casos de Uso.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III. Projeto e Modelagem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Documento de requisitos aprovado.</w:t>
            </w:r>
          </w:p>
        </w:tc>
        <w:tc>
          <w:tcPr>
            <w:tcW w:type="pct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Modelagem relacional em 3FN, diagramas de classe, especificação da API RESTful OpenAPI e arquitetura MVC.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ARQUITETURA.md, BANCO_DE_DADOS.md, API.md, Schema SQL.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IV. Construção e Codificação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Modelos arquiteturais e casos de teste.</w:t>
            </w:r>
          </w:p>
        </w:tc>
        <w:tc>
          <w:tcPr>
            <w:tcW w:type="pct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Implementação modular em NestJS, React 19, SQLite nativo, componentes visuais e otimização do solver.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Código-fonte limpo, sementes de dados TACO, executáveis .bat.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V. Verificação e Testes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Código-fonte e cenários de homologação.</w:t>
            </w:r>
          </w:p>
        </w:tc>
        <w:tc>
          <w:tcPr>
            <w:tcW w:type="pct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Execução de 61 testes herméticos em SQLite :memory:, auditoria de segurança (SQLi, IDOR, Bcrypt) e cobertura &gt;90%.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TESTES.md, MATRIZ_RASTREABILIDADE.md, Relatórios Vitest.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VI. Implantação e Transição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Sistema testado e homologado.</w:t>
            </w:r>
          </w:p>
        </w:tc>
        <w:tc>
          <w:tcPr>
            <w:tcW w:type="pct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Build de produção otimizado, configuração de scripts de inicialização em 1 clique e publicação no GitHub.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Repositório GitHub (branch v2), MANUAL_TECNICO.md, MANUAL_USUARIO.md.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VII. Manutenção e Auditoria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Feedback de usuários e métricas em operação.</w:t>
            </w:r>
          </w:p>
        </w:tc>
        <w:tc>
          <w:tcPr>
            <w:tcW w:type="pct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Auditoria periódica de segurança, atualização da base alimentar TACO e novas funcionalidades.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CHANGELOG.md, Relatórios de auditoria contínua.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5.2. Portões de Qualidade e Critérios de Transição (Quality Gates)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Para garantir que uma fase do ciclo de vida só seja considerada concluída quando cumprir padrões inegociáveis de excelência, foram instituídos três Quality Gates obrigatórios: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•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Quality Gate 1 (Fase I → Fase II/III): Aprovação formal do plano de projeto, matriz de stakeholders e modelo de processo sem inconsistências metodológicas.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•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Quality Gate 2 (Fase III → Fase IV): Schema de banco validado em 3FN com chaves estrangeiras ativas e endpoints da API 100% tipados em DTOs.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•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Quality Gate 3 (Fase IV/V → Fase VI): 100% dos testes automatizados aprovados (61/61), zero vulnerabilidades no npm audit, zero segredos expostos no Git e rastreabilidade total verificada.</w:t>
      </w:r>
    </w:p>
    <w:p>
      <w:pPr>
        <w:pStyle w:val="Heading1"/>
        <w:pageBreakBefore/>
        <w:spacing w:after="160" w:before="400"/>
      </w:pPr>
      <w:r>
        <w:rPr>
          <w:rFonts w:ascii="Arial" w:cs="Arial" w:eastAsia="Arial" w:hAnsi="Arial"/>
          <w:b/>
          <w:bCs/>
          <w:color w:val="1B365D"/>
          <w:sz w:val="30"/>
          <w:szCs w:val="30"/>
        </w:rPr>
        <w:t xml:space="preserve">6. PLANO DE PROJETO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6.1. Declaração de Escopo do Projeto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O gerenciamento do escopo visa assegurar que o projeto inclua todo o trabalho necessário, e somente o trabalho necessário, para a entrega do produto final com êxito.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✓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Escopo do Produto Incluso (In-Scope): Cadastro/login com JWT e Bcrypt; perfil antropométrico; motor de cálculo TMB/TDEE; base oficial TACO com 744 itens; montador de dietas com solver matemático; catálogo de 128 exercícios com biomecânica; montador de treino com opções A/B/C; cronômetro de séries e descanso em tempo real; histórico imutável de treinos; portal de profissionais com CRN/CREF; painel de administração e métricas; suíte de 61 testes automatizados; manuais técnicos e de usuário.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✗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Escopo Não Incluso (Out-of-Scope): Processamento de transações financeiras e pagamentos com cartão de crédito (funcionalidade diferida para versões futuras); integração com dispositivos vestíveis (smartwatches) de marcas proprietárias; consultas médicas ao vivo via streaming WebRTC.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6.2. Estrutura Analítica do Projeto (EAP / WBS)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 Estrutura Analítica do Projeto desdobra hierarquicamente o trabalho total em pacotes gerenciáveis: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1.0 GERENCIAMENTO: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1.1 Gestão da Fase 1 e Plano de Projeto (Escopo, Cronograma, Riscos, Stakeholders)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t xml:space="preserve"/>
      </w:r>
      <w:r>
        <w:rPr>
          <w:rFonts w:ascii="Arial" w:cs="Arial" w:eastAsia="Arial" w:hAnsi="Arial"/>
          <w:color w:val="1E293B"/>
          <w:sz w:val="21"/>
          <w:szCs w:val="21"/>
        </w:rPr>
        <w:t xml:space="preserve">1.2 Acompanhamento de Sprints e Cerimônias de Qualidade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t xml:space="preserve"/>
      </w:r>
      <w:r>
        <w:rPr>
          <w:rFonts w:ascii="Arial" w:cs="Arial" w:eastAsia="Arial" w:hAnsi="Arial"/>
          <w:color w:val="1E293B"/>
          <w:sz w:val="21"/>
          <w:szCs w:val="21"/>
        </w:rPr>
        <w:t xml:space="preserve">1.3 Preparação de Relatórios Formais de Engenharia de Software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2.0 REQUISITOS: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2.1 Elicitação de Requisitos com Profissionais de Nutrição e Treinadores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t xml:space="preserve"/>
      </w:r>
      <w:r>
        <w:rPr>
          <w:rFonts w:ascii="Arial" w:cs="Arial" w:eastAsia="Arial" w:hAnsi="Arial"/>
          <w:color w:val="1E293B"/>
          <w:sz w:val="21"/>
          <w:szCs w:val="21"/>
        </w:rPr>
        <w:t xml:space="preserve">2.2 Especificação Formal de Requisitos Funcionais (RF01 a RF38)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t xml:space="preserve"/>
      </w:r>
      <w:r>
        <w:rPr>
          <w:rFonts w:ascii="Arial" w:cs="Arial" w:eastAsia="Arial" w:hAnsi="Arial"/>
          <w:color w:val="1E293B"/>
          <w:sz w:val="21"/>
          <w:szCs w:val="21"/>
        </w:rPr>
        <w:t xml:space="preserve">2.3 Especificação de Requisitos Não-Funcionais (RNF01 a RNF10) e Regras (RN01 a RN29)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3.0 ARQUITETURA &amp; DADOS: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3.1 Arquitetura em Camadas Desacopladas (Clean MVC)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t xml:space="preserve"/>
      </w:r>
      <w:r>
        <w:rPr>
          <w:rFonts w:ascii="Arial" w:cs="Arial" w:eastAsia="Arial" w:hAnsi="Arial"/>
          <w:color w:val="1E293B"/>
          <w:sz w:val="21"/>
          <w:szCs w:val="21"/>
        </w:rPr>
        <w:t xml:space="preserve">3.2 Modelagem Relacional do SQLite em 3FN com 17 Tabelas e Índices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t xml:space="preserve"/>
      </w:r>
      <w:r>
        <w:rPr>
          <w:rFonts w:ascii="Arial" w:cs="Arial" w:eastAsia="Arial" w:hAnsi="Arial"/>
          <w:color w:val="1E293B"/>
          <w:sz w:val="21"/>
          <w:szCs w:val="21"/>
        </w:rPr>
        <w:t xml:space="preserve">3.3 Especificação OpenAPI da API RESTful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4.0 DESENVOLVIMENTO: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4.1 Implementação do Backend NestJS (Módulos de Domínio)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t xml:space="preserve"/>
      </w:r>
      <w:r>
        <w:rPr>
          <w:rFonts w:ascii="Arial" w:cs="Arial" w:eastAsia="Arial" w:hAnsi="Arial"/>
          <w:color w:val="1E293B"/>
          <w:sz w:val="21"/>
          <w:szCs w:val="21"/>
        </w:rPr>
        <w:t xml:space="preserve">4.2 Implementação do Frontend React 19 com Tailwind CSS v4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t xml:space="preserve"/>
      </w:r>
      <w:r>
        <w:rPr>
          <w:rFonts w:ascii="Arial" w:cs="Arial" w:eastAsia="Arial" w:hAnsi="Arial"/>
          <w:color w:val="1E293B"/>
          <w:sz w:val="21"/>
          <w:szCs w:val="21"/>
        </w:rPr>
        <w:t xml:space="preserve">4.3 Integração e Sincronização do Solver Matemático de Dietas e Cronômetro de Treino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5.0 QUALIDADE &amp; DEPLOY: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5.1 Desenvolvimento da Suíte de 61 Testes Unitários e de Integração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t xml:space="preserve"/>
      </w:r>
      <w:r>
        <w:rPr>
          <w:rFonts w:ascii="Arial" w:cs="Arial" w:eastAsia="Arial" w:hAnsi="Arial"/>
          <w:color w:val="1E293B"/>
          <w:sz w:val="21"/>
          <w:szCs w:val="21"/>
        </w:rPr>
        <w:t xml:space="preserve">5.2 Auditoria de Segurança, Varredura de Vulnerabilidades e Prevenção IDOR/SQLi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t xml:space="preserve"/>
      </w:r>
      <w:r>
        <w:rPr>
          <w:rFonts w:ascii="Arial" w:cs="Arial" w:eastAsia="Arial" w:hAnsi="Arial"/>
          <w:color w:val="1E293B"/>
          <w:sz w:val="21"/>
          <w:szCs w:val="21"/>
        </w:rPr>
        <w:t xml:space="preserve">5.3 Publicação no GitHub e Elaboração dos Manuais Técnicos e de Usuário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6.3. Cronograma do Projeto (16 Semanas / 6 Marcos)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629"/>
        <w:gridCol w:w="2722"/>
        <w:gridCol w:w="1361"/>
      </w:tblGrid>
      <w:tr>
        <w:trPr>
          <w:tblHeader/>
        </w:trPr>
        <w:tc>
          <w:tcPr>
            <w:tcW w:type="pct" w:w="7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Semana</w:t>
            </w:r>
          </w:p>
        </w:tc>
        <w:tc>
          <w:tcPr>
            <w:tcW w:type="pct" w:w="20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 / Atividade</w:t>
            </w:r>
          </w:p>
        </w:tc>
        <w:tc>
          <w:tcPr>
            <w:tcW w:type="pct" w:w="15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Entregável Principal</w:t>
            </w:r>
          </w:p>
        </w:tc>
        <w:tc>
          <w:tcPr>
            <w:tcW w:type="pct" w:w="7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Marco (Milestone)</w:t>
            </w:r>
          </w:p>
        </w:tc>
      </w:tr>
      <w:tr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Sem. 01 - 02</w:t>
            </w:r>
          </w:p>
        </w:tc>
        <w:tc>
          <w:tcPr>
            <w:tcW w:type="pct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Definição do Problema, Justificativa e Stakeholders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Termo de Abertura e Plano da Fase 1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M1: Concepção Aprovada</w:t>
            </w:r>
          </w:p>
        </w:tc>
      </w:tr>
      <w:tr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Sem. 03 - 04</w:t>
            </w:r>
          </w:p>
        </w:tc>
        <w:tc>
          <w:tcPr>
            <w:tcW w:type="pct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Engenharia de Requisitos e Modelagem das Regras de Negócio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Documentos REQUISITOS.md e REGRAS_DE_NEGOCIO.md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M2: Requisitos Congelados</w:t>
            </w:r>
          </w:p>
        </w:tc>
      </w:tr>
      <w:tr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Sem. 05 - 07</w:t>
            </w:r>
          </w:p>
        </w:tc>
        <w:tc>
          <w:tcPr>
            <w:tcW w:type="pct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Projeto de Arquitetura, Banco SQLite 3FN e API REST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Documentos ARQUITETURA.md, BANCO_DE_DADOS.md e API.md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M3: Arquitetura Validada</w:t>
            </w:r>
          </w:p>
        </w:tc>
      </w:tr>
      <w:tr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Sem. 08 - 11</w:t>
            </w:r>
          </w:p>
        </w:tc>
        <w:tc>
          <w:tcPr>
            <w:tcW w:type="pct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Implementação dos Incrementos 1, 2, 3 e 4 (Backend + Web)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Módulos de Nutrição, Dieta, Treino e Cronômetro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M4: Núcleo Funcional Pronto</w:t>
            </w:r>
          </w:p>
        </w:tc>
      </w:tr>
      <w:tr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Sem. 12 - 14</w:t>
            </w:r>
          </w:p>
        </w:tc>
        <w:tc>
          <w:tcPr>
            <w:tcW w:type="pct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Governança (Admin/Profissionais), Testes Automatizados e Auditoria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61 Testes Automatizados (TESTES.md, MATRIZ)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M5: Homologação Aprovada</w:t>
            </w:r>
          </w:p>
        </w:tc>
      </w:tr>
      <w:tr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Sem. 15 - 16</w:t>
            </w:r>
          </w:p>
        </w:tc>
        <w:tc>
          <w:tcPr>
            <w:tcW w:type="pct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Elaboração de Manuais, Empacotamento e Publicação GitHub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Manual Técnico, Manual do Usuário e Repositório v2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M6: Entrega Final do Sistema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6.4. Papéis, Responsabilidades e Matriz RACI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 Matriz RACI estabelece a governança sobre cada entregável do projeto, identificando quem é o Responsável pela execução (R - Responsible), quem responde pela aprovação final (A - Accountable), quem é Consultado (C - Consulted) e quem deve ser Informado (I - Informed):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179"/>
        <w:gridCol w:w="1179"/>
        <w:gridCol w:w="1179"/>
        <w:gridCol w:w="1179"/>
        <w:gridCol w:w="1179"/>
      </w:tblGrid>
      <w:tr>
        <w:trPr>
          <w:tblHeader/>
        </w:trPr>
        <w:tc>
          <w:tcPr>
            <w:tcW w:type="pct" w:w="17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Entregável do Projeto</w:t>
            </w:r>
          </w:p>
        </w:tc>
        <w:tc>
          <w:tcPr>
            <w:tcW w:type="pct" w:w="6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Gerente / Scrum</w:t>
            </w:r>
          </w:p>
        </w:tc>
        <w:tc>
          <w:tcPr>
            <w:tcW w:type="pct" w:w="6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 / Requisitos</w:t>
            </w:r>
          </w:p>
        </w:tc>
        <w:tc>
          <w:tcPr>
            <w:tcW w:type="pct" w:w="6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Arquiteto / Dev</w:t>
            </w:r>
          </w:p>
        </w:tc>
        <w:tc>
          <w:tcPr>
            <w:tcW w:type="pct" w:w="6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QA / Testes</w:t>
            </w:r>
          </w:p>
        </w:tc>
        <w:tc>
          <w:tcPr>
            <w:tcW w:type="pct" w:w="6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Segurança / DevOps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Plano de Projeto e Fase 1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 / A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Especificação de Requisitos e RNs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Modelagem de Arquitetura e SQLite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 / A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Implementação dos Módulos NestJS/React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 / A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Suíte de Testes Automatizados (61 testes)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 / A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Auditoria de Segurança (SQLi, IDOR, Bcrypt)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 / A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Manuais de Usuário e Implantação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Publicação no Repositório GitHub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</w:t>
            </w:r>
          </w:p>
        </w:tc>
        <w:tc>
          <w:tcPr>
            <w:tcW w:type="pct" w:w="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6.5. Gerenciamento e Matriz de Riscos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Adotou-se metodologia quantitativa-qualitativa de análise de riscos baseada na matriz de severidade (Probabilidade de 1 a 5 × Impacto de 1 a 5 = Severidade de 1 a 25):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635"/>
        <w:gridCol w:w="635"/>
        <w:gridCol w:w="907"/>
        <w:gridCol w:w="2449"/>
        <w:gridCol w:w="2449"/>
      </w:tblGrid>
      <w:tr>
        <w:trPr>
          <w:tblHeader/>
        </w:trPr>
        <w:tc>
          <w:tcPr>
            <w:tcW w:type="pct" w:w="11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Risco Identificado</w:t>
            </w:r>
          </w:p>
        </w:tc>
        <w:tc>
          <w:tcPr>
            <w:tcW w:type="pct" w:w="3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Prob.</w:t>
            </w:r>
          </w:p>
        </w:tc>
        <w:tc>
          <w:tcPr>
            <w:tcW w:type="pct" w:w="3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Imp.</w:t>
            </w:r>
          </w:p>
        </w:tc>
        <w:tc>
          <w:tcPr>
            <w:tcW w:type="pct" w:w="5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Sev.</w:t>
            </w:r>
          </w:p>
        </w:tc>
        <w:tc>
          <w:tcPr>
            <w:tcW w:type="pct" w:w="13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Estratégia de Mitigação</w:t>
            </w:r>
          </w:p>
        </w:tc>
        <w:tc>
          <w:tcPr>
            <w:tcW w:type="pct" w:w="13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Plano de Contingência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R1: Desvios matemáticos nos macronutrientes da dieta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 (Médio)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Implementação de solver numérico iterativo com testes unitários dedicados (TEST-DIET-009/010).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Reversão atômica de persistência caso o delta exceda tolerâncias (≤5% calorias/P, ≤8% C/G).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R2: Corrupção ou perda de dados da base TACO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5 (Baixo)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Armazenamento da semente original em JSON versionada no Git com permissão explícita no .gitignore.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Script automatizado de restauração e reinjeção das 744 sementes no banco.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R3: Falhas de segurança (SQL Injection ou vazamento IDOR)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5 (Baixo)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Uso compulsório de Prepared Statements com ? e validação rigorosa de userId em 100% das rotas.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Auditoria estática contínua e revogação imediata de tokens em caso de anomalia.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R4: Atrasos no cronograma letivo de 16 semanas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4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12 (Alto)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Adoção de modelo incremental com escopo flexível (MoSCoW) e congelamento de requisitos na Semana 4.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Priorização das funcionalidades essenciais (Must-Have) e postergação de itens secundários.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R5: Incompatibilidade de ambiente na máquina do avaliador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4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8 (Médio)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Uso de SQLite local sem dependências de servidores externos em nuvem e criação de scripts .bat em 1 clique.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Documentação passo a passo detalhada no MANUAL_TECNICO.md com comandos manuais alternativos.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R6: Sobrecarga mental do usuário com interface confusa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</w:t>
            </w:r>
          </w:p>
        </w:tc>
        <w:tc>
          <w:tcPr>
            <w:tcW w:type="pct" w:w="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6 (Médio)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Testes contínuos de usabilidade, eliminação total de identificadores técnicos internos e botões táteis.</w:t>
            </w:r>
          </w:p>
        </w:tc>
        <w:tc>
          <w:tcPr>
            <w:tcW w:type="pct" w:w="13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Refatoração da UX com formatadores de nomes amigáveis em língua portuguesa.</w:t>
            </w:r>
          </w:p>
        </w:tc>
      </w:tr>
    </w:tbl>
    <w:p>
      <w:pPr>
        <w:pStyle w:val="Heading1"/>
        <w:pageBreakBefore/>
        <w:spacing w:after="160" w:before="400"/>
      </w:pPr>
      <w:r>
        <w:rPr>
          <w:rFonts w:ascii="Arial" w:cs="Arial" w:eastAsia="Arial" w:hAnsi="Arial"/>
          <w:b/>
          <w:bCs/>
          <w:color w:val="1B365D"/>
          <w:sz w:val="30"/>
          <w:szCs w:val="30"/>
        </w:rPr>
        <w:t xml:space="preserve">7. DEFINIÇÃO DE CRITÉRIOS DE QUALIDADE DE SOFTWARE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7.1. Modelo de Qualidade Baseado na Norma Internacional ISO/IEC 25010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Para transcender noções subjetivas de qualidade, o NutriPlan v2 adota o modelo de qualidade de produto de software padronizado pela norma internacional ISO/IEC 25010 (Systems and software engineering — Systems and software Quality Requirements and Evaluation - SQuaRE). A norma decompõe a qualidade em oito características fundamentais: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4082"/>
        <w:gridCol w:w="2994"/>
      </w:tblGrid>
      <w:tr>
        <w:trPr>
          <w:tblHeader/>
        </w:trPr>
        <w:tc>
          <w:tcPr>
            <w:tcW w:type="pct" w:w="11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 ISO/IEC 25010</w:t>
            </w:r>
          </w:p>
        </w:tc>
        <w:tc>
          <w:tcPr>
            <w:tcW w:type="pct" w:w="22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Aplicação Prática no NutriPlan v2</w:t>
            </w:r>
          </w:p>
        </w:tc>
        <w:tc>
          <w:tcPr>
            <w:tcW w:type="pct" w:w="165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de Engenharia Estabelecida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1. Adequação Funcional</w:t>
            </w:r>
          </w:p>
        </w:tc>
        <w:tc>
          <w:tcPr>
            <w:tcW w:type="pct" w:w="2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O sistema executa com precisão todas as 38 funções previstas sem erros de arredondamento.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100% dos requisitos funcionais implementados e aprovados nos testes automatizados.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2. Eficiência de Desempenho</w:t>
            </w:r>
          </w:p>
        </w:tc>
        <w:tc>
          <w:tcPr>
            <w:tcW w:type="pct" w:w="2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Tempo de resposta de consultas de alimentos e exercícios no SQLite local.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Tempo de resposta da API &lt; 200ms para 95% das requisições sob carga local.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3. Compatibilidade</w:t>
            </w:r>
          </w:p>
        </w:tc>
        <w:tc>
          <w:tcPr>
            <w:tcW w:type="pct" w:w="2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Interoperabilidade RESTful JSON e funcionamento responsivo em diferentes telas e navegadores.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Suporte completo a telas de 360px a 1920px (Mobile/Desktop) e browsers modernos (Chrome, Firefox, Safari, Edge).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4. Usabilidade</w:t>
            </w:r>
          </w:p>
        </w:tc>
        <w:tc>
          <w:tcPr>
            <w:tcW w:type="pct" w:w="2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Facilidade de operação, eliminação de termos técnicos internos e conformidade ergonômica tátil.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Alvos de toque ≥ 40x40px, vocabulário 100% traduzido para PT-BR e navegação fluida em menos de 3 cliques.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5. Confiabilidade</w:t>
            </w:r>
          </w:p>
        </w:tc>
        <w:tc>
          <w:tcPr>
            <w:tcW w:type="pct" w:w="2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Integridade referencial do banco de dados relacional e imutabilidade do histórico de execuções.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Zero corrupção de dados; exclusão de planos jamais apaga registros históricos (RN24).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6. Segurança da Informação</w:t>
            </w:r>
          </w:p>
        </w:tc>
        <w:tc>
          <w:tcPr>
            <w:tcW w:type="pct" w:w="2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Confidencialidade de credenciais, autorização por perfil e prevenção a ataques web comuns.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Zero senhas em texto puro (Bcrypt salt=10), zero vulnerabilidades npm, proteção total contra IDOR e SQLi.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7. Manutenibilidade</w:t>
            </w:r>
          </w:p>
        </w:tc>
        <w:tc>
          <w:tcPr>
            <w:tcW w:type="pct" w:w="2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Arquitetura desacoplada em camadas limpas, tipagem estrita com TypeScript e alta testabilidade.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Cobertura de código &gt; 90% nos módulos de domínio e conformidade com princípios Clean Code e SOLID.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8. Portabilidade</w:t>
            </w:r>
          </w:p>
        </w:tc>
        <w:tc>
          <w:tcPr>
            <w:tcW w:type="pct" w:w="2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Capacidade de inicialização em qualquer computador com Node.js sem dependências proprietárias.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Inicialização completa em menos de 10 segundos através de script único em 1 clique (iniciar.bat).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7.2. Tabela de Métricas e Metas de Aceitação (KPIs de Qualidade)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7"/>
        <w:gridCol w:w="2722"/>
        <w:gridCol w:w="1814"/>
        <w:gridCol w:w="2359"/>
      </w:tblGrid>
      <w:tr>
        <w:trPr>
          <w:tblHeader/>
        </w:trPr>
        <w:tc>
          <w:tcPr>
            <w:tcW w:type="pct" w:w="12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de Qualidade</w:t>
            </w:r>
          </w:p>
        </w:tc>
        <w:tc>
          <w:tcPr>
            <w:tcW w:type="pct" w:w="15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Fórmula / Método de Medição</w:t>
            </w:r>
          </w:p>
        </w:tc>
        <w:tc>
          <w:tcPr>
            <w:tcW w:type="pct" w:w="10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Aceitável</w:t>
            </w:r>
          </w:p>
        </w:tc>
        <w:tc>
          <w:tcPr>
            <w:tcW w:type="pct" w:w="1300"/>
            <w:tcBorders>
              <w:top w:val="single" w:color="CBD5E1" w:sz="6"/>
              <w:left w:val="single" w:color="CBD5E1" w:sz="6"/>
              <w:bottom w:val="single" w:color="1B365D" w:sz="12"/>
              <w:right w:val="single" w:color="CBD5E1" w:sz="6"/>
            </w:tcBorders>
            <w:shd w:fill="1B365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 Alcançado</w:t>
            </w:r>
          </w:p>
        </w:tc>
      </w:tr>
      <w:tr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Taxa de Sucesso dos Testes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(Testes Aprovados / Total de Testes) × 100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100% (61/61 testes)</w:t>
            </w:r>
          </w:p>
        </w:tc>
      </w:tr>
      <w:tr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Cobertura de Código Global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Relatório gerado pelo Vitest Coverage (v8)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&gt; 85%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&gt; 93% nos módulos de domínio</w:t>
            </w:r>
          </w:p>
        </w:tc>
      </w:tr>
      <w:tr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Tempo de Execução dos Testes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Tempo total da suíte completa de testes unitários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&lt; 30 segundos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~12.1 segundos (Vitest)</w:t>
            </w:r>
          </w:p>
        </w:tc>
      </w:tr>
      <w:tr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Vulnerabilidades em Dependências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Relatório de auditoria gerado pelo npm audit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0 de alta severidade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0 vulnerabilidades (Backend e Web)</w:t>
            </w:r>
          </w:p>
        </w:tc>
      </w:tr>
      <w:tr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Tolerância da Dieta Assistida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Delta entre calorias/macros gerados e metas do usuário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≤ 5% kcal/P, ≤ 8% C/G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Cumprida com rigor pelo solver</w:t>
            </w:r>
          </w:p>
        </w:tc>
      </w:tr>
      <w:tr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Integridade Referencial SQLite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Validação de constraints de Foreign Key e Cascades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100% ativas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PRAGMA foreign_keys = ON verificado</w:t>
            </w:r>
          </w:p>
        </w:tc>
      </w:tr>
      <w:tr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Tempo de Inicialização em 1 Clique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Tempo para API e Web subirem simultaneamente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&lt; 15 segundos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&lt; 8 segundos via iniciar.bat</w:t>
            </w:r>
          </w:p>
        </w:tc>
      </w:tr>
    </w:tbl>
    <w:p>
      <w:pPr>
        <w:pStyle w:val="Heading1"/>
        <w:pageBreakBefore/>
        <w:spacing w:after="160" w:before="400"/>
      </w:pPr>
      <w:r>
        <w:rPr>
          <w:rFonts w:ascii="Arial" w:cs="Arial" w:eastAsia="Arial" w:hAnsi="Arial"/>
          <w:b/>
          <w:bCs/>
          <w:color w:val="1B365D"/>
          <w:sz w:val="30"/>
          <w:szCs w:val="30"/>
        </w:rPr>
        <w:t xml:space="preserve">8. CONSIDERAÇÕES FINAIS E PRÓXIMOS PASSOS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 conclusão da Fase 1 — Processo e Planejamento de Software consolida o alicerce metodológico, científico e operacional sobre o qual o NutriPlan v2 foi erigido. Ao estabelecer uma definição rigorosa do problema, caracterizar exaustivamente as partes interessadas, justificar a necessidade da base oficial TACO e formular um plano de projeto robusto com modelo de processo híbrido incremental orientado a qualidade (ISO/IEC 25010), a equipe mitiga os riscos de retrabalho e desvios de escopo.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Como transição para as fases subsequentes da disciplina de Engenharia de Software I, estabelecem-se os seguintes desdobramentos imediatos: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1.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Fase 2 (Engenharia de Requisitos): Detalhamento formal dos 38 Requisitos Funcionais e 10 Requisitos Não-Funcionais com critérios de aceitação e diagramas de casos de uso (UML).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2.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Fase 3 (Modelagem de Arquitetura e Dados): Especificação da arquitetura limpa em camadas, diagramas de sequência e dicionário de dados das 17 tabelas em 3FN do SQLite.</w:t>
      </w:r>
    </w:p>
    <w:p>
      <w:pPr>
        <w:pStyle w:val="ListParagraph"/>
        <w:numPr>
          <w:ilvl w:val="0"/>
          <w:numId w:val="1"/>
        </w:numPr>
        <w:spacing w:after="80" w:before="40" w:line="300"/>
      </w:pPr>
      <w:r>
        <w:rPr>
          <w:rFonts w:ascii="Arial" w:cs="Arial" w:eastAsia="Arial" w:hAnsi="Arial"/>
          <w:b/>
          <w:bCs/>
          <w:color w:val="1B365D"/>
          <w:sz w:val="21"/>
          <w:szCs w:val="21"/>
        </w:rPr>
        <w:t xml:space="preserve">3.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Fase 4 e 5 (Implementação e Testes): Consolidação da rastreabilidade bidirecional entre cada linha de código implementada e a matriz de testes automatizados com execução contínua.</w:t>
      </w:r>
    </w:p>
    <w:p>
      <w:pPr>
        <w:pStyle w:val="Heading1"/>
        <w:pageBreakBefore/>
        <w:spacing w:after="160" w:before="400"/>
      </w:pPr>
      <w:r>
        <w:rPr>
          <w:rFonts w:ascii="Arial" w:cs="Arial" w:eastAsia="Arial" w:hAnsi="Arial"/>
          <w:b/>
          <w:bCs/>
          <w:color w:val="1B365D"/>
          <w:sz w:val="30"/>
          <w:szCs w:val="30"/>
        </w:rPr>
        <w:t xml:space="preserve">REFERÊNCIAS BIBLIOGRÁFICAS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ASSOCIAÇÃO BRASILEIRA DE NORMAS TÉCNICAS. NBR 6023: Informação e documentação — Referências — Elaboração. Rio de Janeiro: ABNT, 2018.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CONSELHO FEDERAL DE NUTRICIONISTAS. Resolução CFN nº 600/2018: Define as áreas de atuação do nutricionista e suas atribuições. Brasília: CFN, 2018.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INTERNATIONAL ORGANIZATION FOR STANDARDIZATION. ISO/IEC 25010:2011: Systems and software engineering — Systems and software Quality Requirements and Evaluation (SQuaRE) — System and software quality models. Geneva: ISO, 2011.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MARTIN, Robert C. Clean Architecture: A Craftsman's Guide to Software Structure and Design. Boston: Prentice Hall, 2017.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MIFFLIN, M. D.; ST JEOR, S. T.; HILL, L. A.; SCOTT, B. J.; DAUGHERTY, S. A.; KOH, Y. O. A new predictive equation for resting energy expenditure in healthy individuals. The American Journal of Clinical Nutrition, v. 51, n. 2, p. 241-247, 1990.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NÚCLEO DE ESTUDOS E PESQUISAS EM ALIMENTAÇÃO - NEPA. Tabela Brasileira de Composição de Alimentos - TACO. 4. ed. rev. e ampl. Campinas: UNICAMP, 2011. 161 p.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ORGANIZAÇÃO MUNDIAL DA SAÚDE - OMS. Diet, nutrition and the prevention of chronic diseases: report of a Joint WHO/FAO Expert Consultation. Genebra: World Health Organization, 2003.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PRESSMAN, Roger S.; MAXIM, Bruce R. Engenharia de Software: Uma Abordagem Profissional. 9. ed. Porto Alegre: AMGH, 2021.</w:t>
      </w:r>
    </w:p>
    <w:p>
      <w:pPr>
        <w:spacing w:after="140" w:before="0" w:line="360"/>
        <w:jc w:val="both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SOMMERVILLE, Ian. Engenharia de Software. 10. ed. São Paulo: Pearson Education do Brasil, 2019.</w:t>
      </w:r>
    </w:p>
    <w:sectPr>
      <w:headerReference w:type="default" r:id="rId6"/>
      <w:footerReference w:type="default" r:id="rId7"/>
      <w:pgSz w:w="11906" w:h="16838" w:orient="portrait"/>
      <w:pgMar w:top="1700" w:right="1134" w:bottom="1134" w:left="17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Laboratório de Engenharia de Software — ADS — Página </w:t>
    </w:r>
    <w:r>
      <w:rPr>
        <w:rFonts w:ascii="Arial" w:cs="Arial" w:eastAsia="Arial" w:hAnsi="Arial"/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6"/>
        <w:szCs w:val="16"/>
      </w:rPr>
      <w:t xml:space="preserve"> de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NUTRIPLAN V2 — FASE 1: PROCESSO E PLANEJAMENTO | FATEC CAMPINAS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2026-10-07T00:50:09.140Z</dcterms:created>
  <dcterms:modified xsi:type="dcterms:W3CDTF">2026-10-07T00:50:09.141Z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