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Regionalismo e Pork-Barrel Ministerial no Brasil</w:t>
      </w:r>
    </w:p>
    <w:p>
      <w:pPr>
        <w:pStyle w:val="Author"/>
      </w:pPr>
      <w:r>
        <w:rPr>
          <w:rtl w:val="0"/>
          <w:lang w:val="en-US"/>
        </w:rPr>
        <w:t>Fernando Meireles</w:t>
      </w:r>
      <w:r>
        <w:rPr>
          <w:rStyle w:val="footnote reference"/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1"/>
      </w:r>
    </w:p>
    <w:p>
      <w:pPr>
        <w:pStyle w:val="Date"/>
      </w:pPr>
      <w:r>
        <w:rPr>
          <w:rtl w:val="0"/>
          <w:lang w:val="en-US"/>
        </w:rPr>
        <w:t>IESP-UERJ</w:t>
      </w:r>
    </w:p>
    <w:p>
      <w:pPr>
        <w:pStyle w:val="Abstract"/>
      </w:pPr>
      <w:r>
        <w:rPr>
          <w:rtl w:val="0"/>
          <w:lang w:val="en-US"/>
        </w:rPr>
        <w:t>O artigo prop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 analisar a estrutura interna dos minist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rios no Brasil entre 1990 e 2019. A literatura sobre governos de coaliz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tanto em sistemas parlamentaristas quanto presidencialistas ressalta a import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dos portf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lios ministeriais como ferramenta para obter apoio legislativo. No sistema parlamentarista, a regra da proporcionalidade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recorrentemente aplicada (Ganson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Law), enquanto que no presidencialismo de coaliz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 presidente pode optar por formar um gabinete mais ou menos coalescente, a depender de seus objetivos. Independente do tipo de sistema de governo, entretanto, as pastas ministeriais ocupam um lugar central para os partidos pol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ticos que disputam esses espa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os porque d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acesso a importantes recursos como cargos, 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amento e policies. Ao abordar a 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gabinetes, no entanto, a literatura foca principalmente nos processos de sele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demiss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de ministros, deixando de lado as disputas que ocorrem nas suas estruturas internas. O objetivo desse artigo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ir 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do primeiro primeiro escal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analisando as mudan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as que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ocorrem nos segundo e terceiro escal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esde governo. Com dados originais em painel, bem como an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lise documental, procuramos responder a seguinte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 O presidente utiliza sua prerrogativa administrativa de alterar a estrutura do segundo e terceiro escal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de governo como estrat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gia para coordenar sua coaliz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o? O objetivo principal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contribuir com o debate sobre a 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coordena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coaliz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e ampliar a an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lise sobre o espa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de articula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pol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tica do governo.</w:t>
      </w:r>
    </w:p>
    <w:p>
      <w:pPr>
        <w:pStyle w:val="heading 1"/>
      </w:pPr>
      <w:bookmarkStart w:name="introducao" w:id="0"/>
      <w:bookmarkEnd w:id="0"/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en-US"/>
        </w:rPr>
        <w:t>ntrodu</w:t>
      </w:r>
      <w:r>
        <w:rPr>
          <w:rFonts w:cs="Arial Unicode MS" w:eastAsia="Arial Unicode MS" w:hint="default"/>
          <w:rtl w:val="0"/>
          <w:lang w:val="en-US"/>
        </w:rPr>
        <w:t>çã</w:t>
      </w:r>
      <w:r>
        <w:rPr>
          <w:rFonts w:cs="Arial Unicode MS" w:eastAsia="Arial Unicode MS"/>
          <w:rtl w:val="0"/>
          <w:lang w:val="en-US"/>
        </w:rPr>
        <w:t>o</w:t>
      </w:r>
    </w:p>
    <w:p>
      <w:pPr>
        <w:pStyle w:val="First Paragraph"/>
      </w:pPr>
      <w:r>
        <w:rPr>
          <w:rtl w:val="0"/>
          <w:lang w:val="en-US"/>
        </w:rPr>
        <w:t>De uma sala comercial em Ondina, bairro nobre da zona sul de Salvador, o ent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ministro da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Nacional Geddel Vieira Lima (PMDB) recebia prefeitos de diversos munic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pios baianos. O ano era de elei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municipais e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deles pleiteavam recursos para alavancar suas administra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es. A crer nessa descri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rStyle w:val="footnote reference"/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2"/>
      </w:r>
      <w:r>
        <w:rPr>
          <w:rtl w:val="0"/>
          <w:lang w:val="en-US"/>
        </w:rPr>
        <w:t>, muitos eram filiados ao PMDB, mas pol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ticos de outros partidos eram atendidos. Para Geddel, essa era uma oportunidade de conquistar apoiadores pelo interior do estado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dois anos depois o ministro disputaria a cadeira de governador. Pelo menos naquele momento, a estrat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gia parece ter sido bem executada: apenas em 2009, munic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pios baianos ficaram com 38% dos investimentos da pasta de Geddel, mais do que o triplo recebido pelo segundo estado melhor atendido, Rio Grande do Sul.</w:t>
      </w:r>
      <w:r>
        <w:rPr>
          <w:rStyle w:val="footnote reference"/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3"/>
      </w:r>
      <w:r>
        <w:rPr>
          <w:rtl w:val="0"/>
          <w:lang w:val="en-US"/>
        </w:rPr>
        <w:t xml:space="preserve"> Prefeitos fora da Bahia, mesmo os do PMDB,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tiveram tanta sorte.</w:t>
      </w:r>
    </w:p>
    <w:p>
      <w:pPr>
        <w:pStyle w:val="Body Text"/>
      </w:pPr>
      <w:r>
        <w:rPr>
          <w:rtl w:val="0"/>
          <w:lang w:val="en-US"/>
        </w:rPr>
        <w:t xml:space="preserve">Este artigo trata de casos como esse. Especificamente, seu objetivo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investigar se ministros destinam mais recursos para munic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pios de seus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prios estados, o que chamo de favoritismo regional (Cf. Hodler e Raschky, 2014). Como aponta a literatura sobre o tema, fazendo isso eles obteriam apoio eleitoral para disputar cargos eletivos no futuro (Tavits, 2009), o que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sustentado pelos poucos estudos sobre no Brasil (Ames, 2002, Cap. 6; ver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Power e Mochel, 2008, p. 225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9).</w:t>
      </w:r>
    </w:p>
    <w:p>
      <w:pPr>
        <w:pStyle w:val="heading 1"/>
      </w:pPr>
      <w:bookmarkStart w:name="literatura" w:id="1"/>
      <w:bookmarkEnd w:id="1"/>
      <w:r>
        <w:rPr>
          <w:rFonts w:cs="Arial Unicode MS" w:eastAsia="Arial Unicode MS"/>
          <w:rtl w:val="0"/>
          <w:lang w:val="en-US"/>
        </w:rPr>
        <w:t>L</w:t>
      </w:r>
      <w:r>
        <w:rPr>
          <w:rFonts w:cs="Arial Unicode MS" w:eastAsia="Arial Unicode MS"/>
          <w:rtl w:val="0"/>
          <w:lang w:val="en-US"/>
        </w:rPr>
        <w:t>iteratura</w:t>
      </w:r>
    </w:p>
    <w:p>
      <w:pPr>
        <w:pStyle w:val="heading 2"/>
      </w:pPr>
      <w:bookmarkStart w:name="teoria" w:id="2"/>
      <w:bookmarkEnd w:id="2"/>
      <w:r>
        <w:rPr>
          <w:rFonts w:cs="Arial Unicode MS" w:eastAsia="Arial Unicode MS"/>
          <w:rtl w:val="0"/>
          <w:lang w:val="en-US"/>
        </w:rPr>
        <w:t>T</w:t>
      </w:r>
      <w:r>
        <w:rPr>
          <w:rFonts w:cs="Arial Unicode MS" w:eastAsia="Arial Unicode MS"/>
          <w:rtl w:val="0"/>
          <w:lang w:val="en-US"/>
        </w:rPr>
        <w:t>eoria</w:t>
      </w:r>
    </w:p>
    <w:p>
      <w:pPr>
        <w:pStyle w:val="First Paragraph"/>
      </w:pPr>
      <w:r>
        <w:rPr>
          <w:rtl w:val="0"/>
          <w:lang w:val="en-US"/>
        </w:rPr>
        <w:t>Aqui vai alguma teoria.</w:t>
      </w:r>
    </w:p>
    <w:p>
      <w:pPr>
        <w:pStyle w:val="heading 2"/>
      </w:pPr>
      <w:bookmarkStart w:name="graficos" w:id="3"/>
      <w:bookmarkEnd w:id="3"/>
      <w:r>
        <w:rPr>
          <w:rFonts w:cs="Arial Unicode MS" w:eastAsia="Arial Unicode MS"/>
          <w:rtl w:val="0"/>
          <w:lang w:val="en-US"/>
        </w:rPr>
        <w:t>G</w:t>
      </w:r>
      <w:r>
        <w:rPr>
          <w:rFonts w:cs="Arial Unicode MS" w:eastAsia="Arial Unicode MS"/>
          <w:rtl w:val="0"/>
          <w:lang w:val="en-US"/>
        </w:rPr>
        <w:t>r</w:t>
      </w:r>
      <w:r>
        <w:rPr>
          <w:rFonts w:cs="Arial Unicode MS" w:eastAsia="Arial Unicode MS" w:hint="default"/>
          <w:rtl w:val="0"/>
          <w:lang w:val="en-US"/>
        </w:rPr>
        <w:t>á</w:t>
      </w:r>
      <w:r>
        <w:rPr>
          <w:rFonts w:cs="Arial Unicode MS" w:eastAsia="Arial Unicode MS"/>
          <w:rtl w:val="0"/>
          <w:lang w:val="en-US"/>
        </w:rPr>
        <w:t>ficos</w:t>
      </w:r>
    </w:p>
    <w:p>
      <w:pPr>
        <w:pStyle w:val="First Paragraph"/>
      </w:pPr>
      <w:r>
        <w:rPr>
          <w:rtl w:val="0"/>
          <w:lang w:val="en-US"/>
        </w:rPr>
        <w:t>Aqui vai um 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fico.</w:t>
      </w:r>
    </w:p>
    <w:p>
      <w:pPr>
        <w:pStyle w:val="Body Text"/>
      </w:pPr>
      <w:r>
        <w:drawing xmlns:a="http://schemas.openxmlformats.org/drawingml/2006/main">
          <wp:inline distT="0" distB="0" distL="0" distR="0">
            <wp:extent cx="4620126" cy="3696101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</w:pPr>
      <w:bookmarkStart w:name="referencias" w:id="4"/>
      <w:bookmarkEnd w:id="4"/>
      <w:r>
        <w:rPr>
          <w:rFonts w:cs="Arial Unicode MS" w:eastAsia="Arial Unicode MS"/>
          <w:rtl w:val="0"/>
          <w:lang w:val="en-US"/>
        </w:rPr>
        <w:t>R</w:t>
      </w:r>
      <w:r>
        <w:rPr>
          <w:rFonts w:cs="Arial Unicode MS" w:eastAsia="Arial Unicode MS"/>
          <w:rtl w:val="0"/>
          <w:lang w:val="en-US"/>
        </w:rPr>
        <w:t>efer</w:t>
      </w:r>
      <w:r>
        <w:rPr>
          <w:rFonts w:cs="Arial Unicode MS" w:eastAsia="Arial Unicode MS" w:hint="default"/>
          <w:rtl w:val="0"/>
          <w:lang w:val="en-US"/>
        </w:rPr>
        <w:t>ê</w:t>
      </w:r>
      <w:r>
        <w:rPr>
          <w:rFonts w:cs="Arial Unicode MS" w:eastAsia="Arial Unicode MS"/>
          <w:rtl w:val="0"/>
          <w:lang w:val="en-US"/>
        </w:rPr>
        <w:t>ncias</w:t>
      </w:r>
    </w:p>
    <w:p>
      <w:pPr>
        <w:pStyle w:val="Bibliography"/>
      </w:pPr>
      <w:r>
        <w:rPr>
          <w:rtl w:val="0"/>
          <w:lang w:val="en-US"/>
        </w:rPr>
        <w:t xml:space="preserve">AMES, B. </w:t>
      </w:r>
      <w:r>
        <w:rPr>
          <w:b w:val="1"/>
          <w:bCs w:val="1"/>
          <w:rtl w:val="0"/>
          <w:lang w:val="en-US"/>
        </w:rPr>
        <w:t>The deadlock of democracy in Brazil</w:t>
      </w:r>
      <w:r>
        <w:rPr>
          <w:rtl w:val="0"/>
          <w:lang w:val="en-US"/>
        </w:rPr>
        <w:t xml:space="preserve">. Traducao. [s.l.] University of Michigan Press, 2002. </w:t>
      </w:r>
    </w:p>
    <w:p>
      <w:pPr>
        <w:pStyle w:val="Bibliography"/>
      </w:pPr>
      <w:r>
        <w:rPr>
          <w:rtl w:val="0"/>
          <w:lang w:val="en-US"/>
        </w:rPr>
        <w:t xml:space="preserve">HODLER, R.; RASCHKY, P. A. Regional favoritism. </w:t>
      </w:r>
      <w:r>
        <w:rPr>
          <w:b w:val="1"/>
          <w:bCs w:val="1"/>
          <w:rtl w:val="0"/>
          <w:lang w:val="en-US"/>
        </w:rPr>
        <w:t>The Quarterly Journal of Economics</w:t>
      </w:r>
      <w:r>
        <w:rPr>
          <w:rtl w:val="0"/>
          <w:lang w:val="en-US"/>
        </w:rPr>
        <w:t>, v. 129, n. 2, p. 995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1033, 2014. </w:t>
      </w:r>
    </w:p>
    <w:p>
      <w:pPr>
        <w:pStyle w:val="Bibliography"/>
      </w:pPr>
      <w:r>
        <w:rPr>
          <w:rtl w:val="0"/>
          <w:lang w:val="en-US"/>
        </w:rPr>
        <w:t xml:space="preserve">POWER, T. J.; MOCHEL, M. G. Political recruitment in an executive-Centric System: Presidents, Ministers, and Governors in brazil. </w:t>
      </w:r>
      <w:r>
        <w:rPr>
          <w:b w:val="1"/>
          <w:bCs w:val="1"/>
          <w:rtl w:val="0"/>
          <w:lang w:val="en-US"/>
        </w:rPr>
        <w:t>Pathways to power: political recruitment and candidate selection in Latin America</w:t>
      </w:r>
      <w:r>
        <w:rPr>
          <w:rtl w:val="0"/>
          <w:lang w:val="en-US"/>
        </w:rPr>
        <w:t>, p. 218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40, 2008. </w:t>
      </w:r>
    </w:p>
    <w:p>
      <w:pPr>
        <w:pStyle w:val="Bibliography"/>
      </w:pPr>
      <w:r>
        <w:rPr>
          <w:rtl w:val="0"/>
          <w:lang w:val="en-US"/>
        </w:rPr>
        <w:t xml:space="preserve">TAVITS, M. Geographically targeted spending: exploring the electoral strategies of incumbent governments. </w:t>
      </w:r>
      <w:r>
        <w:rPr>
          <w:b w:val="1"/>
          <w:bCs w:val="1"/>
          <w:rtl w:val="0"/>
          <w:lang w:val="en-US"/>
        </w:rPr>
        <w:t>European Political Science Review</w:t>
      </w:r>
      <w:r>
        <w:rPr>
          <w:rtl w:val="0"/>
          <w:lang w:val="en-US"/>
        </w:rPr>
        <w:t>, v. 1, n. 1, p. 103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123, 2009. </w:t>
      </w:r>
    </w:p>
    <w:sectPr>
      <w:headerReference w:type="default" r:id="rId5"/>
      <w:footerReference w:type="default" r:id="rId6"/>
      <w:pgSz w:w="12240" w:h="15840" w:orient="portrait"/>
      <w:pgMar w:top="1418" w:right="851" w:bottom="1418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 </w:t>
      </w:r>
      <w:r>
        <w:rPr>
          <w:rtl w:val="0"/>
          <w:lang w:val="en-US"/>
        </w:rPr>
        <w:t xml:space="preserve">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"mailto:fernando.meireles@iesp.uerj.br"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fernando.meireles@iesp.uerj.br</w:t>
      </w:r>
      <w:r>
        <w:rPr/>
        <w:fldChar w:fldCharType="end" w:fldLock="0"/>
      </w:r>
      <w:r>
        <w:rPr>
          <w:rtl w:val="0"/>
          <w:lang w:val="en-US"/>
        </w:rPr>
        <w:t>.</w:t>
      </w:r>
    </w:p>
  </w:footnote>
  <w:footnote w:id="2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 </w:t>
      </w:r>
      <w:r>
        <w:rPr>
          <w:rtl w:val="0"/>
          <w:lang w:val="en-US"/>
        </w:rPr>
        <w:t>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vel em: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"https://istoe.com.br/1721_O+NOVO+CORONEL+DA+BAHIA/"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https://istoe.com.br/1721_O+NOVO+CORONEL+DA+BAHIA/</w:t>
      </w:r>
      <w:r>
        <w:rPr/>
        <w:fldChar w:fldCharType="end" w:fldLock="0"/>
      </w:r>
      <w:r>
        <w:rPr>
          <w:rtl w:val="0"/>
          <w:lang w:val="en-US"/>
        </w:rPr>
        <w:t>. Acesso em: 12/11/2018.</w:t>
      </w:r>
    </w:p>
  </w:footnote>
  <w:footnote w:id="3">
    <w:p>
      <w:pPr>
        <w:pStyle w:val="footnote text"/>
        <w:jc w:val="both"/>
      </w:pPr>
      <w:r>
        <w:rPr>
          <w:rStyle w:val="footnote referenc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 </w:t>
      </w:r>
      <w:r>
        <w:rPr>
          <w:rtl w:val="0"/>
          <w:lang w:val="en-US"/>
        </w:rPr>
        <w:t>Essa informa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foi calculada a partir de dados sobre as Transfer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ncias Volunt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rias da Uni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celebradas entre o Minist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da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Nacional e prefeituras. Apresento as fontes e os procedimentos usados para sistematizar esses dados adiante.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709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footnote reference">
    <w:name w:val="footnote reference"/>
    <w:rPr>
      <w:vertAlign w:val="superscript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60" w:line="360" w:lineRule="auto"/>
      <w:ind w:left="0" w:right="0" w:firstLine="709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bstract">
    <w:name w:val="Abstract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851" w:right="851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36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40" w:line="36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ibliography">
    <w:name w:val="Bibliography"/>
    <w:next w:val="Bibliograph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