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spacing w:after="12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PROJETO DE ANÁLISE DE DATASET “EUROPEAN SOCCER DATABASE”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spacing w:after="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Nicolas M. Justen, Vitor R. Back, Lucas R. Bolzan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Programação para Ciência de Dados – Universidade Regional Integrada do Alto Uruguai e das Missões (URI – Santo Ângelo)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spacing w:after="120" w:lineRule="auto"/>
        <w:jc w:val="center"/>
        <w:rPr>
          <w:rFonts w:ascii="Courier New" w:cs="Courier New" w:eastAsia="Courier New" w:hAnsi="Courier New"/>
          <w:sz w:val="20"/>
          <w:szCs w:val="20"/>
        </w:rPr>
      </w:pPr>
      <w:hyperlink r:id="rId6">
        <w:r w:rsidDel="00000000" w:rsidR="00000000" w:rsidRPr="00000000">
          <w:rPr>
            <w:rFonts w:ascii="Courier New" w:cs="Courier New" w:eastAsia="Courier New" w:hAnsi="Courier New"/>
            <w:color w:val="1155cc"/>
            <w:sz w:val="20"/>
            <w:szCs w:val="20"/>
            <w:u w:val="single"/>
            <w:rtl w:val="0"/>
          </w:rPr>
          <w:t xml:space="preserve">nicolasmjusten@aluno.santoangelo.uri.br</w:t>
        </w:r>
      </w:hyperlink>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spacing w:after="120" w:lineRule="auto"/>
        <w:jc w:val="center"/>
        <w:rPr>
          <w:rFonts w:ascii="Courier New" w:cs="Courier New" w:eastAsia="Courier New" w:hAnsi="Courier New"/>
          <w:sz w:val="20"/>
          <w:szCs w:val="20"/>
        </w:rPr>
      </w:pPr>
      <w:hyperlink r:id="rId7">
        <w:r w:rsidDel="00000000" w:rsidR="00000000" w:rsidRPr="00000000">
          <w:rPr>
            <w:rFonts w:ascii="Courier New" w:cs="Courier New" w:eastAsia="Courier New" w:hAnsi="Courier New"/>
            <w:color w:val="1155cc"/>
            <w:sz w:val="20"/>
            <w:szCs w:val="20"/>
            <w:u w:val="single"/>
            <w:rtl w:val="0"/>
          </w:rPr>
          <w:t xml:space="preserve">vitorrback@aluno.santoangelo.uri.br</w:t>
        </w:r>
      </w:hyperlink>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spacing w:after="120" w:lineRule="auto"/>
        <w:jc w:val="center"/>
        <w:rPr>
          <w:rFonts w:ascii="Courier New" w:cs="Courier New" w:eastAsia="Courier New" w:hAnsi="Courier New"/>
          <w:sz w:val="20"/>
          <w:szCs w:val="20"/>
        </w:rPr>
      </w:pPr>
      <w:hyperlink r:id="rId8">
        <w:r w:rsidDel="00000000" w:rsidR="00000000" w:rsidRPr="00000000">
          <w:rPr>
            <w:rFonts w:ascii="Courier New" w:cs="Courier New" w:eastAsia="Courier New" w:hAnsi="Courier New"/>
            <w:color w:val="1155cc"/>
            <w:sz w:val="20"/>
            <w:szCs w:val="20"/>
            <w:u w:val="single"/>
            <w:rtl w:val="0"/>
          </w:rPr>
          <w:t xml:space="preserve">lucasrbolzan@aluno.santoangelo.uri.br</w:t>
        </w:r>
      </w:hyperlink>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spacing w:after="12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Abstract. </w:t>
      </w:r>
      <w:r w:rsidDel="00000000" w:rsidR="00000000" w:rsidRPr="00000000">
        <w:rPr>
          <w:rFonts w:ascii="Times New Roman" w:cs="Times New Roman" w:eastAsia="Times New Roman" w:hAnsi="Times New Roman"/>
          <w:i w:val="1"/>
          <w:iCs w:val="1"/>
          <w:rtl w:val="0"/>
        </w:rPr>
        <w:t xml:space="preserve">This paper documents the first stage of an exploratory project based on the European Soccer Database. Three research questions are defined and the data source, structure, quality and preparation procedures are described. The analytical selection contains 25,979 matches, 17 columns and 14 content attributes covering eight seasons and eleven European leagues. Missing values are concentrated in betting-odds fields, while match results and dates are complete in the selected data. Exploratory answers and predictive modeling are reserved for the second stage.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Resumo. </w:t>
      </w:r>
      <w:r w:rsidDel="00000000" w:rsidR="00000000" w:rsidRPr="00000000">
        <w:rPr>
          <w:rFonts w:ascii="Times New Roman" w:cs="Times New Roman" w:eastAsia="Times New Roman" w:hAnsi="Times New Roman"/>
          <w:i w:val="1"/>
          <w:iCs w:val="1"/>
          <w:rtl w:val="0"/>
        </w:rPr>
        <w:t xml:space="preserve">Este artigo documenta a primeira etapa de um projeto exploratório baseado na European Soccer Database. São definidas três questões de pesquisa e descritos a fonte, a estrutura, a qualidade e os procedimentos de preparação dos dados. A seleção analítica contém 25.979 partidas, 17 colunas e 14 atributos de conteúdo, abrangendo oito temporadas e onze ligas europeias. Os valores ausentes concentram-se nas cotações de apostas, enquanto datas e resultados estão completos no recorte utilizado. As respostas exploratórias e a modelagem ficam reservadas para a segunda etapa.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spacing w:after="60" w:befor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Introdução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o aumento da disponibilidade de dados relacionados ao futebol europeu, tornou-se possível realizar análises mais detalhadas sobre partidas, equipes, campeonatos e outros fatores associados ao desempenho esportivo. Informações antes dispersas passaram a ser organizadas em bases históricas, possibilitando a comparação de diferentes contextos de competição.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Nesse contexto, este trabalho utiliza dados de partidas, equipes, ligas e cotações de apostas para investigar aspectos do desempenho esportivo e do equilíbrio entre competições. O objetivo é preparar uma base consistente e reprodutível que permita, na etapa seguinte, responder às questões formuladas a partir dos registros disponíveis.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três questões de pesquisa definidas são: </w:t>
      </w:r>
      <w:r w:rsidDel="00000000" w:rsidR="00000000" w:rsidRPr="00000000">
        <w:rPr>
          <w:rFonts w:ascii="Times New Roman" w:cs="Times New Roman" w:eastAsia="Times New Roman" w:hAnsi="Times New Roman"/>
          <w:b w:val="1"/>
          <w:bCs w:val="1"/>
          <w:rtl w:val="0"/>
        </w:rPr>
        <w:t xml:space="preserve">(P1) </w:t>
      </w:r>
      <w:r w:rsidDel="00000000" w:rsidR="00000000" w:rsidRPr="00000000">
        <w:rPr>
          <w:rFonts w:ascii="Times New Roman" w:cs="Times New Roman" w:eastAsia="Times New Roman" w:hAnsi="Times New Roman"/>
          <w:rtl w:val="0"/>
        </w:rPr>
        <w:t xml:space="preserve">Quais equipes apresentaram a maior vantagem de pontos por jogo em partidas disputadas em casa em relação às partidas fora de casa na temporada 2015/2016? </w:t>
      </w:r>
      <w:r w:rsidDel="00000000" w:rsidR="00000000" w:rsidRPr="00000000">
        <w:rPr>
          <w:rFonts w:ascii="Times New Roman" w:cs="Times New Roman" w:eastAsia="Times New Roman" w:hAnsi="Times New Roman"/>
          <w:b w:val="1"/>
          <w:bCs w:val="1"/>
          <w:rtl w:val="0"/>
        </w:rPr>
        <w:t xml:space="preserve">(P2) </w:t>
      </w:r>
      <w:r w:rsidDel="00000000" w:rsidR="00000000" w:rsidRPr="00000000">
        <w:rPr>
          <w:rFonts w:ascii="Times New Roman" w:cs="Times New Roman" w:eastAsia="Times New Roman" w:hAnsi="Times New Roman"/>
          <w:rtl w:val="0"/>
        </w:rPr>
        <w:t xml:space="preserve">Em quais temporadas as equipes com a menor cotação da Bet365 apresentaram o maior índice de vitórias? </w:t>
      </w:r>
      <w:r w:rsidDel="00000000" w:rsidR="00000000" w:rsidRPr="00000000">
        <w:rPr>
          <w:rFonts w:ascii="Times New Roman" w:cs="Times New Roman" w:eastAsia="Times New Roman" w:hAnsi="Times New Roman"/>
          <w:b w:val="1"/>
          <w:bCs w:val="1"/>
          <w:rtl w:val="0"/>
        </w:rPr>
        <w:t xml:space="preserve">(P3) </w:t>
      </w:r>
      <w:r w:rsidDel="00000000" w:rsidR="00000000" w:rsidRPr="00000000">
        <w:rPr>
          <w:rFonts w:ascii="Times New Roman" w:cs="Times New Roman" w:eastAsia="Times New Roman" w:hAnsi="Times New Roman"/>
          <w:rtl w:val="0"/>
        </w:rPr>
        <w:t xml:space="preserve">Quais ligas apresentaram as maiores diferenças de pontos entre o primeiro e o segundo colocado nas temporadas de 2008/2009 a 2015/2016?</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respostas permitirão comparar a influência do mando no desempenho, avaliar a estabilidade histórica do favoritismo indicado pelas cotações e identificar temporadas com maior distância entre os líderes.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Os Dados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base utilizada é a European Soccer Database, publicada por Hugo Mathien na plataforma Kaggle. O arquivo é disponibilizado em formato SQLite e reúne dados de futebol europeu entre 18 de julho de 2008 e 25 de maio de 2016. A página de origem declara a licença “Database: Open Database, Contents: © Original Authors”. A base completa contém informações de 11 países e suas principais ligas, além de partidas, equipes, jogadores, atributos e cotações de apostas.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unidade de observação adotada neste projeto é uma partida. A tabela Match é utilizada como fonte principal; as tabelas League e Team fornecem os nomes das competições e das equipes. As junções são realizadas pelos identificadores correspondentes, preservando uma linha por partida. As tabelas de jogadores e atributos não são necessárias para as três questões definidas nesta etapa.</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spacing w:after="40" w:before="18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Dicionário dos dados selecionados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spacing w:after="12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Tabela 1. Dicionário das principais variáveis utilizadas no projeto.</w:t>
      </w:r>
    </w:p>
    <w:tbl>
      <w:tblPr>
        <w:tblStyle w:val="Table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6.741269106068"/>
        <w:gridCol w:w="2501.0328855951834"/>
        <w:gridCol w:w="3515.737656322372"/>
        <w:tblGridChange w:id="0">
          <w:tblGrid>
            <w:gridCol w:w="2486.741269106068"/>
            <w:gridCol w:w="2501.0328855951834"/>
            <w:gridCol w:w="3515.737656322372"/>
          </w:tblGrid>
        </w:tblGridChange>
      </w:tblGrid>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shd w:fill="e6e6e6" w:val="clear"/>
            <w:tcMar>
              <w:top w:w="0.0" w:type="dxa"/>
              <w:left w:w="0.0" w:type="dxa"/>
              <w:bottom w:w="0.0" w:type="dxa"/>
              <w:right w:w="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Variável</w:t>
            </w:r>
          </w:p>
        </w:tc>
        <w:tc>
          <w:tcPr>
            <w:tcBorders>
              <w:top w:color="777777" w:space="0" w:sz="5" w:val="single"/>
              <w:left w:color="777777" w:space="0" w:sz="5" w:val="single"/>
              <w:bottom w:color="777777" w:space="0" w:sz="5" w:val="single"/>
              <w:right w:color="777777" w:space="0" w:sz="5" w:val="single"/>
            </w:tcBorders>
            <w:shd w:fill="e6e6e6" w:val="clear"/>
            <w:tcMar>
              <w:top w:w="0.0" w:type="dxa"/>
              <w:left w:w="0.0" w:type="dxa"/>
              <w:bottom w:w="0.0" w:type="dxa"/>
              <w:right w:w="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top w:color="777777" w:space="0" w:sz="5" w:val="single"/>
              <w:left w:color="777777" w:space="0" w:sz="5" w:val="single"/>
              <w:bottom w:color="777777" w:space="0" w:sz="5" w:val="single"/>
              <w:right w:color="777777" w:space="0" w:sz="5" w:val="single"/>
            </w:tcBorders>
            <w:shd w:fill="e6e6e6" w:val="clear"/>
            <w:tcMar>
              <w:top w:w="0.0" w:type="dxa"/>
              <w:left w:w="0.0" w:type="dxa"/>
              <w:bottom w:w="0.0" w:type="dxa"/>
              <w:right w:w="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Descrição</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Temporal</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de realização da partida.</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temporada</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Categórica</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Temporada à qual a partida pertence.</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liga</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Categórica</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Nome da competição.</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mandante / visitante</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Texto/categórica</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Nomes das equipes participantes.</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mandante_id / visitante_id</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Identificador</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IDs usados para relacionar e distinguir as equipes.</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gols_mandante</w:t>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sz w:val="18"/>
                <w:szCs w:val="18"/>
                <w:rtl w:val="0"/>
              </w:rPr>
              <w:t xml:space="preserve">gols_visitante</w:t>
            </w:r>
            <w:r w:rsidDel="00000000" w:rsidR="00000000" w:rsidRPr="00000000">
              <w:rPr>
                <w:rtl w:val="0"/>
              </w:rPr>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Numérica</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Gols marcados por cada equipe.</w:t>
            </w:r>
          </w:p>
        </w:tc>
      </w:tr>
      <w:tr>
        <w:trPr>
          <w:cantSplit w:val="0"/>
          <w:trHeight w:val="37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B365H / B365D / B365A</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Numérica contínua</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Cotações Bet365 para vitória do mandante, empate e vitória do visitante.</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rodada</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Numérica discreta</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Número da rodada registrado para a partida.</w:t>
            </w:r>
          </w:p>
        </w:tc>
      </w:tr>
    </w:tbl>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spacing w:after="60" w:befor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Entendimento dos Dados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diagnóstico foi realizado sobre uma seleção analítica construída a partir das tabelas Match, League e Team. A junção preservou as 25.979 partidas existentes em Match e resultou em 17 colunas, das quais 14 são atributos de conteúdo e três são identificadores técnicos. O recorte contém oito temporadas, 11 ligas e 299 identificadores distintos de equipes.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Quanto aos tipos, a seleção inclui variáveis numéricas, categóricas, textuais e temporais. As cotações e os gols fornecem variáveis numéricas; temporada, liga e equipes permitem agrupamentos categóricos; os nomes das equipes constituem informação textual; e a data fornece o componente temporal, cobrindo período superior a 12 meses.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spacing w:after="12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Tabela 2. Resumo do diagnóstico de qualidade da seleção analítica.</w:t>
      </w:r>
    </w:p>
    <w:tbl>
      <w:tblPr>
        <w:tblStyle w:val="Table2"/>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5.343442524998"/>
        <w:gridCol w:w="4058.168368498627"/>
        <w:tblGridChange w:id="0">
          <w:tblGrid>
            <w:gridCol w:w="4445.343442524998"/>
            <w:gridCol w:w="4058.168368498627"/>
          </w:tblGrid>
        </w:tblGridChange>
      </w:tblGrid>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shd w:fill="e6e6e6" w:val="clear"/>
            <w:tcMar>
              <w:top w:w="0.0" w:type="dxa"/>
              <w:left w:w="0.0" w:type="dxa"/>
              <w:bottom w:w="0.0" w:type="dxa"/>
              <w:right w:w="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Verificação</w:t>
            </w:r>
          </w:p>
        </w:tc>
        <w:tc>
          <w:tcPr>
            <w:tcBorders>
              <w:top w:color="777777" w:space="0" w:sz="5" w:val="single"/>
              <w:left w:color="777777" w:space="0" w:sz="5" w:val="single"/>
              <w:bottom w:color="777777" w:space="0" w:sz="5" w:val="single"/>
              <w:right w:color="777777" w:space="0" w:sz="5" w:val="single"/>
            </w:tcBorders>
            <w:shd w:fill="e6e6e6" w:val="clear"/>
            <w:tcMar>
              <w:top w:w="0.0" w:type="dxa"/>
              <w:left w:w="0.0" w:type="dxa"/>
              <w:bottom w:w="0.0" w:type="dxa"/>
              <w:right w:w="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Resultado</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Partidas</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25.979</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Colunas selecionadas</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 (14 de conteúdo + 3 identificadores)</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Temporadas distintas</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Ligas distintas</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IDs distintos de equipes</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299</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Datas inválidas ou ausentes</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Ausência em B365H, B365D e B365A</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3.387 registros em cada coluna (13,04%)</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Placares ausentes ou negativos</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IDs iguais entre mandante e visitante</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Nomes iguais entre mandante e visitante</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registros</w:t>
            </w:r>
          </w:p>
        </w:tc>
      </w:tr>
    </w:tbl>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principais defeitos observados concentram-se nas cotações de apostas. As três variáveis da Bet365 possuem 13,04% de valores ausentes, o que exige tratamento específico na questão que utiliza favoritismo. Também foram encontrados seis registros em que os nomes textuais do mandante e do visitante coincidem, embora os identificadores das equipes sejam diferentes; por esse motivo, os IDs são mantidos como referência nas operações de junção e agrupamento.</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spacing w:after="60" w:befor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Preparação dos Dados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spacing w:after="40" w:before="18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Tratamento de dados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preparação dos dados foi realizada de forma conservadora, preservando os registros originais sempre que possível e aplicando filtros apenas quando necessários para garantir a consistência das análises.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ind w:left="0" w:firstLine="0"/>
        <w:rPr>
          <w:rFonts w:ascii="Times New Roman" w:cs="Times New Roman" w:eastAsia="Times New Roman" w:hAnsi="Times New Roman"/>
        </w:rPr>
      </w:pPr>
      <w:r w:rsidDel="00000000" w:rsidR="00000000" w:rsidRPr="00000000">
        <w:rPr>
          <w:rtl w:val="0"/>
        </w:rPr>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60"/>
        <w:tblGridChange w:id="0">
          <w:tblGrid>
            <w:gridCol w:w="4380"/>
            <w:gridCol w:w="4560"/>
          </w:tblGrid>
        </w:tblGridChange>
      </w:tblGrid>
      <w:tr>
        <w:trPr>
          <w:cantSplit w:val="0"/>
          <w:trHeight w:val="270" w:hRule="atLeast"/>
          <w:tblHeader w:val="0"/>
        </w:trPr>
        <w:tc>
          <w:tcPr>
            <w:tcBorders>
              <w:top w:color="777777" w:space="0" w:sz="5" w:val="single"/>
              <w:left w:color="777777" w:space="0" w:sz="5" w:val="single"/>
              <w:bottom w:color="777777" w:space="0" w:sz="5" w:val="single"/>
              <w:right w:color="777777" w:space="0" w:sz="5" w:val="single"/>
            </w:tcBorders>
            <w:shd w:fill="e6e6e6" w:val="clear"/>
            <w:tcMar>
              <w:top w:w="0.0" w:type="dxa"/>
              <w:left w:w="0.0" w:type="dxa"/>
              <w:bottom w:w="0.0" w:type="dxa"/>
              <w:right w:w="0.0" w:type="dxa"/>
            </w:tcMar>
            <w:vAlign w:val="cente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Tratamento</w:t>
            </w:r>
          </w:p>
        </w:tc>
        <w:tc>
          <w:tcPr>
            <w:tcBorders>
              <w:top w:color="777777" w:space="0" w:sz="5" w:val="single"/>
              <w:left w:color="777777" w:space="0" w:sz="5" w:val="single"/>
              <w:bottom w:color="777777" w:space="0" w:sz="5" w:val="single"/>
              <w:right w:color="777777" w:space="0" w:sz="5" w:val="single"/>
            </w:tcBorders>
            <w:shd w:fill="e6e6e6" w:val="clear"/>
            <w:tcMar>
              <w:top w:w="0.0" w:type="dxa"/>
              <w:left w:w="0.0" w:type="dxa"/>
              <w:bottom w:w="0.0" w:type="dxa"/>
              <w:right w:w="0.0" w:type="dxa"/>
            </w:tcMar>
            <w:vAlign w:val="cente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tabs>
                <w:tab w:val="left" w:leader="none" w:pos="720"/>
              </w:tabs>
              <w:spacing w:before="0" w:lineRule="auto"/>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Motivo</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Excluir partidas com cotações ausentes, usando B365H IS NOT NULL, B365D IS NOT NULL e B365A IS NOT NULL.</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pergunta 2 precisa comparar as três cotações (vitória do mandante, empate e vitória do visitante) para identificar o favorito. Sem algum desses valores, a comparação fica incompleta.</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Excluir partidas sem um time favorito único, usando WHERE favorito IS NOT NULL.</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Quando o empate tem a menor cotação ou há igualdade na menor cotação, não existe um único time favorito segundo a regra definida. Essas partidas ficam fora do cálculo.</w:t>
            </w:r>
          </w:p>
        </w:tc>
      </w:tr>
      <w:tr>
        <w:trPr>
          <w:cantSplit w:val="0"/>
          <w:trHeight w:val="255" w:hRule="atLeast"/>
          <w:tblHeader w:val="0"/>
        </w:trPr>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Exigir pelo menos 10 jogos em casa e 10 fora, na pergunta 1.</w:t>
            </w:r>
          </w:p>
        </w:tc>
        <w:tc>
          <w:tcPr>
            <w:tcBorders>
              <w:top w:color="777777" w:space="0" w:sz="5" w:val="single"/>
              <w:left w:color="777777" w:space="0" w:sz="5" w:val="single"/>
              <w:bottom w:color="777777" w:space="0" w:sz="5" w:val="single"/>
              <w:right w:color="777777" w:space="0" w:sz="5" w:val="single"/>
            </w:tcBorders>
            <w:tcMar>
              <w:top w:w="0.0" w:type="dxa"/>
              <w:left w:w="0.0" w:type="dxa"/>
              <w:bottom w:w="0.0" w:type="dxa"/>
              <w:right w:w="0.0" w:type="dxa"/>
            </w:tcMar>
            <w:vAlign w:val="center"/>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Evita comparar médias calculadas com poucos jogos, que podem ser muito influenciadas por resultados isolados.</w:t>
            </w:r>
          </w:p>
        </w:tc>
      </w:tr>
    </w:tbl>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Esses tratamentos foram aplicados somente às análises que dependiam dessas condições, evitando a exclusão desnecessária de registros úteis para as demais questões de pesquisa.</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spacing w:after="40" w:before="18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Variáveis Derivadas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dos dados originais, foram criadas métricas derivadas necessárias para responder às questões de pesquisa. Para a primeira questão, os resultados das partidas foram convertidos em pontos, atribuindo três pontos por vitória, um por empate e zero por derrota. Em seguida, foram calculadas as médias de pontos por jogo em casa e fora e a diferença entre essas duas condições.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 segunda questão, foi criada a variável que identifica a equipe favorita a partir das cotações da Bet365. Uma equipe é considerada favorita somente quando sua cotação de vitória é inferior simultaneamente à cotação do empate e à cotação de vitória do adversário. Também foi criada uma variável binária indicando se a equipe favorita venceu a partida, permitindo calcular o percentual de vitórias por temporada.</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 terceira questão, a pontuação das equipes foi reconstruída a partir dos resultados das partidas. Os pontos foram agrupados por equipe, liga e temporada, permitindo ordenar as equipes e identificar o primeiro e o segundo colocado. A partir dessas posições, foi calculada a diferença de pontos entre os dois primeiros colocados.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spacing w:after="60" w:befor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spacing w:after="60" w:befor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Referências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Mathien, H. (2016). European Soccer Database. Kaggle. Disponível em: https://www.kaggle.com/datasets/hugomathien/soccer. Acesso em: 18 set. 2026.</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20"/>
        </w:tabs>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Sociedade Brasileira de Computação (SBC). Modelos para publicação de artigos. Disponível em: https://www.sbc.org.br/wp-content/uploads/2024/07/modelosparapublicaodeartigos.zip.</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284" w:right="0" w:hanging="284"/>
        <w:jc w:val="both"/>
        <w:rPr>
          <w:b w:val="1"/>
          <w:bCs w:val="1"/>
          <w:sz w:val="32"/>
          <w:szCs w:val="3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284" w:right="0" w:hanging="284"/>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9" w:type="default"/>
      <w:headerReference r:id="rId10" w:type="even"/>
      <w:footerReference r:id="rId11" w:type="first"/>
      <w:footerReference r:id="rId12" w:type="even"/>
      <w:pgSz w:h="16840" w:w="11907" w:orient="portrait"/>
      <w:pgMar w:bottom="1418" w:top="1985" w:left="1701" w:right="1701" w:header="964" w:footer="964"/>
      <w:pgNumType w:start="10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tabs>
        <w:tab w:val="left" w:leader="none" w:pos="720"/>
      </w:tabs>
      <w:rPr>
        <w:vertAlign w:val="baseline"/>
      </w:rPr>
    </w:pPr>
    <w:r w:rsidDel="00000000" w:rsidR="00000000" w:rsidRPr="00000000">
      <w:rPr>
        <w:vertAlign w:val="baseline"/>
        <w:rtl w:val="0"/>
      </w:rPr>
      <w:t xml:space="preserve">Proceedings of the XII SIBGRAPI (October 1999) 101-104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tabs>
        <w:tab w:val="left" w:leader="none" w:pos="720"/>
      </w:tabs>
      <w:jc w:val="left"/>
      <w:rPr>
        <w:vertAlign w:val="baseline"/>
      </w:rPr>
    </w:pPr>
    <w:r w:rsidDel="00000000" w:rsidR="00000000" w:rsidRPr="00000000">
      <w:rPr>
        <w:vertAlign w:val="baseline"/>
        <w:rtl w:val="0"/>
      </w:rPr>
      <w:t xml:space="preserve">Proceedings of the XII SIBGRAPI (October 1999)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tabs>
        <w:tab w:val="left" w:leader="none" w:pos="720"/>
      </w:tabs>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6">
    <w:pPr>
      <w:tabs>
        <w:tab w:val="left" w:leader="none" w:pos="720"/>
      </w:tabs>
      <w:jc w:val="right"/>
      <w:rPr>
        <w:vertAlign w:val="baseline"/>
      </w:rPr>
    </w:pPr>
    <w:r w:rsidDel="00000000" w:rsidR="00000000" w:rsidRPr="00000000">
      <w:rPr>
        <w:vertAlign w:val="baseline"/>
        <w:rtl w:val="0"/>
      </w:rPr>
      <w:t xml:space="preserve">S. Sandri, J. Stolfi, L.Velho</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tabs>
        <w:tab w:val="left" w:leader="none" w:pos="720"/>
      </w:tabs>
      <w:rPr>
        <w:vertAlign w:val="baseline"/>
      </w:rPr>
    </w:pPr>
    <w:r w:rsidDel="00000000" w:rsidR="00000000" w:rsidRPr="00000000">
      <w:rPr>
        <w:rtl w:val="0"/>
      </w:rPr>
    </w:r>
  </w:p>
  <w:p w:rsidR="00000000" w:rsidDel="00000000" w:rsidP="00000000" w:rsidRDefault="00000000" w:rsidRPr="00000000" w14:paraId="00000068">
    <w:pPr>
      <w:tabs>
        <w:tab w:val="left" w:leader="none" w:pos="720"/>
        <w:tab w:val="right" w:leader="none" w:pos="9356"/>
      </w:tabs>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tabs>
          <w:tab w:val="left" w:leader="none" w:pos="720"/>
        </w:tabs>
        <w:spacing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nicolasmjusten@aluno.santoangelo.uri.br" TargetMode="External"/><Relationship Id="rId7" Type="http://schemas.openxmlformats.org/officeDocument/2006/relationships/hyperlink" Target="mailto:vitorrback@aluno.santoangelo.uri.br" TargetMode="External"/><Relationship Id="rId8" Type="http://schemas.openxmlformats.org/officeDocument/2006/relationships/hyperlink" Target="mailto:lucasrbolzan@aluno.santoangelo.uri.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