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1E3A5F"/>
          <w:sz w:val="64"/>
          <w:szCs w:val="64"/>
        </w:rPr>
        <w:t xml:space="preserve">PEOPLEBOT</w:t>
      </w:r>
    </w:p>
    <w:p>
      <w:pPr>
        <w:spacing w:after="80" w:before="0"/>
        <w:jc w:val="center"/>
      </w:pPr>
      <w:r>
        <w:rPr>
          <w:rFonts w:ascii="Arial" w:cs="Arial" w:eastAsia="Arial" w:hAnsi="Arial"/>
          <w:color w:val="0E7490"/>
          <w:sz w:val="32"/>
          <w:szCs w:val="32"/>
        </w:rPr>
        <w:t xml:space="preserve">Plan de Negocio Estrategico</w:t>
      </w:r>
    </w:p>
    <w:p>
      <w:pPr>
        <w:spacing w:after="400" w:before="0"/>
        <w:jc w:val="center"/>
      </w:pPr>
      <w:r>
        <w:rPr>
          <w:rFonts w:ascii="Arial" w:cs="Arial" w:eastAsia="Arial" w:hAnsi="Arial"/>
          <w:color w:val="777777"/>
          <w:sz w:val="28"/>
          <w:szCs w:val="28"/>
        </w:rPr>
        <w:t xml:space="preserve">2026 – 2028</w:t>
      </w:r>
    </w:p>
    <w:p>
      <w:pPr>
        <w:spacing w:after="160" w:before="0"/>
        <w:jc w:val="center"/>
      </w:pPr>
      <w:r>
        <w:rPr>
          <w:rFonts w:ascii="Arial" w:cs="Arial" w:eastAsia="Arial" w:hAnsi="Arial"/>
          <w:i/>
          <w:iCs/>
          <w:color w:val="555555"/>
          <w:sz w:val="22"/>
          <w:szCs w:val="22"/>
        </w:rPr>
        <w:t xml:space="preserve">Perspectiva Estrategica basada en los principios de Peter Thiel</w:t>
      </w:r>
    </w:p>
    <w:p>
      <w:pPr>
        <w:spacing w:after="800" w:before="0"/>
        <w:jc w:val="center"/>
      </w:pPr>
      <w:r>
        <w:rPr>
          <w:rFonts w:ascii="Arial" w:cs="Arial" w:eastAsia="Arial" w:hAnsi="Arial"/>
          <w:color w:val="888888"/>
          <w:sz w:val="20"/>
          <w:szCs w:val="20"/>
        </w:rPr>
        <w:t xml:space="preserve">Preparado para: Gustavo Valbuena | Abril 2026</w:t>
      </w:r>
    </w:p>
    <w:p>
      <w:r>
        <w:br w:type="page"/>
      </w:r>
    </w:p>
    <w:p>
      <w:pPr>
        <w:pStyle w:val="Heading1"/>
        <w:spacing w:after="200" w:before="400"/>
      </w:pPr>
      <w:r>
        <w:rPr>
          <w:rFonts w:ascii="Arial" w:cs="Arial" w:eastAsia="Arial" w:hAnsi="Arial"/>
          <w:b/>
          <w:bCs/>
          <w:color w:val="1E3A5F"/>
          <w:sz w:val="32"/>
          <w:szCs w:val="32"/>
        </w:rPr>
        <w:t xml:space="preserve">Tabla de Contenidos</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rFonts w:ascii="Arial" w:cs="Arial" w:eastAsia="Arial" w:hAnsi="Arial"/>
          <w:b/>
          <w:bCs/>
          <w:color w:val="1E3A5F"/>
          <w:sz w:val="32"/>
          <w:szCs w:val="32"/>
        </w:rPr>
        <w:t xml:space="preserve">Carta del Estratega</w:t>
      </w:r>
    </w:p>
    <w:p>
      <w:pPr>
        <w:spacing w:after="0" w:before="80"/>
      </w:pPr>
      <w:r>
        <w:t xml:space="preserve"/>
      </w:r>
    </w:p>
    <w:p>
      <w:pPr>
        <w:pBdr>
          <w:left w:val="single" w:color="0E7490" w:sz="12" w:space="12"/>
        </w:pBdr>
        <w:spacing w:after="160" w:before="160"/>
        <w:ind w:left="720"/>
      </w:pPr>
      <w:r>
        <w:rPr>
          <w:rFonts w:ascii="Arial" w:cs="Arial" w:eastAsia="Arial" w:hAnsi="Arial"/>
          <w:b/>
          <w:bCs/>
          <w:i/>
          <w:iCs/>
          <w:color w:val="1E3A5F"/>
          <w:sz w:val="24"/>
          <w:szCs w:val="24"/>
        </w:rPr>
        <w:t xml:space="preserve">La pregunta mas importante que un fundador debe responder es esta: ¿En que verdad importante casi nadie mas esta de acuerdo contigo?</w:t>
      </w:r>
    </w:p>
    <w:p>
      <w:pPr>
        <w:spacing w:after="0" w:before="120"/>
      </w:pPr>
      <w:r>
        <w:t xml:space="preserve"/>
      </w:r>
    </w:p>
    <w:p>
      <w:pPr>
        <w:spacing w:after="120" w:before="80"/>
      </w:pPr>
      <w:r>
        <w:rPr>
          <w:rFonts w:ascii="Arial" w:cs="Arial" w:eastAsia="Arial" w:hAnsi="Arial"/>
          <w:color w:val="333333"/>
          <w:sz w:val="22"/>
          <w:szCs w:val="22"/>
        </w:rPr>
        <w:t xml:space="preserve">Gustavo, lo que sigue no es un plan de negocio convencional. Es un argumento. Los planes de negocio convencionales describen mercados, segmentos y proyecciones financieras que todo el mundo puede ver. Eso no crea valor duradero. Lo que crea valor duradero es construir algo que nadie mas esta construyendo, para un publico que nadie mas esta sirviendo bien.</w:t>
      </w:r>
    </w:p>
    <w:p>
      <w:pPr>
        <w:spacing w:after="0" w:before="80"/>
      </w:pPr>
      <w:r>
        <w:t xml:space="preserve"/>
      </w:r>
    </w:p>
    <w:p>
      <w:pPr>
        <w:spacing w:after="120" w:before="80"/>
      </w:pPr>
      <w:r>
        <w:rPr>
          <w:rFonts w:ascii="Arial" w:cs="Arial" w:eastAsia="Arial" w:hAnsi="Arial"/>
          <w:color w:val="333333"/>
          <w:sz w:val="22"/>
          <w:szCs w:val="22"/>
        </w:rPr>
        <w:t xml:space="preserve">PeopleBot no es un canal de contenido. Es el comienzo de un monopolio en un mercado que todavia no sabe que existe: la educacion practica en inteligencia artificial para profesionales de talento humano en habla hispana. Este documento te dice como ganarlo.</w:t>
      </w:r>
    </w:p>
    <w:p>
      <w:pPr>
        <w:spacing w:after="0" w:before="80"/>
      </w:pPr>
      <w:r>
        <w:t xml:space="preserve"/>
      </w:r>
    </w:p>
    <w:p>
      <w:pPr>
        <w:spacing w:after="120" w:before="80"/>
      </w:pPr>
      <w:r>
        <w:rPr>
          <w:rFonts w:ascii="Arial" w:cs="Arial" w:eastAsia="Arial" w:hAnsi="Arial"/>
          <w:color w:val="333333"/>
          <w:sz w:val="22"/>
          <w:szCs w:val="22"/>
        </w:rPr>
        <w:t xml:space="preserve">La verdad contraria en la que se basa PeopleBot es esta: los profesionales de RRHH en America Latina no necesitan mas contenido sobre IA. Necesitan un guia de confianza que los lleve de la confusion al dominio. La diferencia entre contenido y guia es la diferencia entre un buscador y un mentor. Solo uno de los dos construye lealtad irreversible.</w:t>
      </w:r>
    </w:p>
    <w:p>
      <w:pPr>
        <w:pBdr>
          <w:bottom w:val="single" w:color="0E7490" w:sz="4" w:space="1"/>
        </w:pBdr>
        <w:spacing w:after="200" w:before="200"/>
      </w:pPr>
      <w:r>
        <w:t xml:space="preserve"/>
      </w:r>
    </w:p>
    <w:p>
      <w:pPr>
        <w:pStyle w:val="Heading1"/>
        <w:spacing w:after="200" w:before="400"/>
      </w:pPr>
      <w:r>
        <w:rPr>
          <w:rFonts w:ascii="Arial" w:cs="Arial" w:eastAsia="Arial" w:hAnsi="Arial"/>
          <w:b/>
          <w:bCs/>
          <w:color w:val="1E3A5F"/>
          <w:sz w:val="32"/>
          <w:szCs w:val="32"/>
        </w:rPr>
        <w:t xml:space="preserve">1. La Pregunta Contraria</w:t>
      </w:r>
    </w:p>
    <w:p>
      <w:pPr>
        <w:spacing w:after="0" w:before="80"/>
      </w:pPr>
      <w:r>
        <w:t xml:space="preserve"/>
      </w:r>
    </w:p>
    <w:p>
      <w:pPr>
        <w:spacing w:after="120" w:before="80"/>
      </w:pPr>
      <w:r>
        <w:rPr>
          <w:rFonts w:ascii="Arial" w:cs="Arial" w:eastAsia="Arial" w:hAnsi="Arial"/>
          <w:color w:val="333333"/>
          <w:sz w:val="22"/>
          <w:szCs w:val="22"/>
        </w:rPr>
        <w:t xml:space="preserve">Peter Thiel plantea que todo gran negocio comienza con una verdad contraria, algo que la mayoria cree que es falso pero que en realidad es cierto. Para PeopleBot, esa verdad 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8" w:val="clear"/>
            <w:tcMar>
              <w:top w:type="dxa" w:w="200"/>
              <w:left w:type="dxa" w:w="200"/>
              <w:bottom w:type="dxa" w:w="80"/>
              <w:right w:type="dxa" w:w="200"/>
            </w:tcMar>
          </w:tcPr>
          <w:p>
            <w:r>
              <w:rPr>
                <w:rFonts w:ascii="Arial" w:cs="Arial" w:eastAsia="Arial" w:hAnsi="Arial"/>
                <w:b/>
                <w:bCs/>
                <w:color w:val="1E3A5F"/>
                <w:sz w:val="24"/>
                <w:szCs w:val="24"/>
              </w:rPr>
              <w:t xml:space="preserve">La Verdad que Nadie Dice en Voz Alta</w:t>
            </w:r>
          </w:p>
        </w:tc>
      </w:tr>
      <w:tr>
        <w:tc>
          <w:tcPr>
            <w:tcW w:type="dxa" w:w="9360"/>
            <w:tcBorders>
              <w:top w:val="none" w:color="FFFFFF" w:sz="0"/>
              <w:left w:val="none" w:color="FFFFFF" w:sz="0"/>
              <w:bottom w:val="none" w:color="FFFFFF" w:sz="0"/>
              <w:right w:val="none" w:color="FFFFFF" w:sz="0"/>
            </w:tcBorders>
            <w:shd w:fill="E8F4F8" w:val="clear"/>
            <w:tcMar>
              <w:top w:type="dxa" w:w="80"/>
              <w:left w:type="dxa" w:w="200"/>
              <w:bottom w:type="dxa" w:w="200"/>
              <w:right w:type="dxa" w:w="200"/>
            </w:tcMar>
          </w:tcPr>
          <w:p>
            <w:r>
              <w:rPr>
                <w:rFonts w:ascii="Arial" w:cs="Arial" w:eastAsia="Arial" w:hAnsi="Arial"/>
                <w:color w:val="333333"/>
                <w:sz w:val="21"/>
                <w:szCs w:val="21"/>
              </w:rPr>
              <w:t xml:space="preserve">Los profesionales de RRHH en habla hispana NO tienen deficit de informacion sobre IA. Tienen deficit de contexto, confianza y aplicacion practica. La industria de contenido los trata como espectadores. PeopleBot los trata como protagonistas.</w:t>
            </w:r>
          </w:p>
        </w:tc>
      </w:tr>
    </w:tbl>
    <w:p>
      <w:pPr>
        <w:spacing w:after="0" w:before="160"/>
      </w:pPr>
      <w:r>
        <w:t xml:space="preserve"/>
      </w:r>
    </w:p>
    <w:p>
      <w:pPr>
        <w:spacing w:after="120" w:before="80"/>
      </w:pPr>
      <w:r>
        <w:rPr>
          <w:rFonts w:ascii="Arial" w:cs="Arial" w:eastAsia="Arial" w:hAnsi="Arial"/>
          <w:color w:val="333333"/>
          <w:sz w:val="22"/>
          <w:szCs w:val="22"/>
        </w:rPr>
        <w:t xml:space="preserve">El mercado esta lleno de publicaciones, blogs y cursos sobre IA para RRHH en ingles, pensados para audiencias de Silicon Valley. En Latinoamerica y Espana, el profesional de talento humano recibe traduciones fragmentadas de ese contenido sin nada que conecte la teoria con su realidad: su empresa, su cultura, su presupuesto, su idioma.</w:t>
      </w:r>
    </w:p>
    <w:p>
      <w:pPr>
        <w:spacing w:after="0" w:before="80"/>
      </w:pPr>
      <w:r>
        <w:t xml:space="preserve"/>
      </w:r>
    </w:p>
    <w:p>
      <w:pPr>
        <w:spacing w:after="120" w:before="80"/>
      </w:pPr>
      <w:r>
        <w:rPr>
          <w:rFonts w:ascii="Arial" w:cs="Arial" w:eastAsia="Arial" w:hAnsi="Arial"/>
          <w:color w:val="333333"/>
          <w:sz w:val="22"/>
          <w:szCs w:val="22"/>
        </w:rPr>
        <w:t xml:space="preserve">PeopleBot ya lleva mas de 17 episodios de podcast, un newsletter semanal en LinkedIn, y presencia activa en Facebook e Instagram. Eso no es un canal. Es un corpus de confianza construido semana a semana con una audiencia especifica. La mayoria de los competidores empieza por el producto. Tu empezaste por la relacion. Eso es lo mas valioso que existe en este mercado.</w:t>
      </w:r>
    </w:p>
    <w:p>
      <w:pPr>
        <w:pBdr>
          <w:bottom w:val="single" w:color="0E7490" w:sz="4" w:space="1"/>
        </w:pBdr>
        <w:spacing w:after="200" w:before="200"/>
      </w:pPr>
      <w:r>
        <w:t xml:space="preserve"/>
      </w:r>
    </w:p>
    <w:p>
      <w:pPr>
        <w:pStyle w:val="Heading1"/>
        <w:spacing w:after="200" w:before="400"/>
      </w:pPr>
      <w:r>
        <w:rPr>
          <w:rFonts w:ascii="Arial" w:cs="Arial" w:eastAsia="Arial" w:hAnsi="Arial"/>
          <w:b/>
          <w:bCs/>
          <w:color w:val="1E3A5F"/>
          <w:sz w:val="32"/>
          <w:szCs w:val="32"/>
        </w:rPr>
        <w:t xml:space="preserve">2. El Mercado: Por Que Este Momento es Irreversible</w:t>
      </w:r>
    </w:p>
    <w:p>
      <w:pPr>
        <w:spacing w:after="0" w:before="80"/>
      </w:pPr>
      <w:r>
        <w:t xml:space="preserve"/>
      </w:r>
    </w:p>
    <w:p>
      <w:pPr>
        <w:pStyle w:val="Heading2"/>
        <w:spacing w:after="160" w:before="300"/>
      </w:pPr>
      <w:r>
        <w:rPr>
          <w:rFonts w:ascii="Arial" w:cs="Arial" w:eastAsia="Arial" w:hAnsi="Arial"/>
          <w:b/>
          <w:bCs/>
          <w:color w:val="0E7490"/>
          <w:sz w:val="26"/>
          <w:szCs w:val="26"/>
        </w:rPr>
        <w:t xml:space="preserve">2.1 El Tamano Real del Mercado</w:t>
      </w:r>
    </w:p>
    <w:p>
      <w:pPr>
        <w:spacing w:after="0" w:before="80"/>
      </w:pPr>
      <w:r>
        <w:t xml:space="preserve"/>
      </w:r>
    </w:p>
    <w:p>
      <w:pPr>
        <w:spacing w:after="120" w:before="80"/>
      </w:pPr>
      <w:r>
        <w:rPr>
          <w:rFonts w:ascii="Arial" w:cs="Arial" w:eastAsia="Arial" w:hAnsi="Arial"/>
          <w:color w:val="333333"/>
          <w:sz w:val="22"/>
          <w:szCs w:val="22"/>
        </w:rPr>
        <w:t xml:space="preserve">El mercado dirigible de PeopleBot no es "los profesionales de RRHH en Latinoamerica". Ese numero es demasiado grande para ser util. El mercado real, el que puedes ganar en los proximos 24 meses, es este: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520"/>
        <w:gridCol w:w="3720"/>
      </w:tblGrid>
      <w:tr>
        <w:tc>
          <w:tcPr>
            <w:tcW w:type="dxa" w:w="3120"/>
            <w:tcBorders>
              <w:top w:val="single" w:color="D0D9E3" w:sz="1"/>
              <w:left w:val="single" w:color="D0D9E3" w:sz="1"/>
              <w:bottom w:val="single" w:color="D0D9E3" w:sz="1"/>
              <w:right w:val="single" w:color="D0D9E3" w:sz="1"/>
            </w:tcBorders>
            <w:shd w:fill="F5F7FA" w:val="clear"/>
            <w:tcMar>
              <w:top w:type="dxa" w:w="120"/>
              <w:left w:type="dxa" w:w="160"/>
              <w:bottom w:type="dxa" w:w="120"/>
              <w:right w:type="dxa" w:w="160"/>
            </w:tcMar>
          </w:tcPr>
          <w:p>
            <w:r>
              <w:rPr>
                <w:rFonts w:ascii="Arial" w:cs="Arial" w:eastAsia="Arial" w:hAnsi="Arial"/>
                <w:b/>
                <w:bCs/>
                <w:color w:val="1E3A5F"/>
                <w:sz w:val="20"/>
                <w:szCs w:val="20"/>
              </w:rPr>
              <w:t xml:space="preserve">Profesionales de RRHH en LATAM</w:t>
            </w:r>
          </w:p>
        </w:tc>
        <w:tc>
          <w:tcPr>
            <w:tcW w:type="dxa" w:w="2520"/>
            <w:tcBorders>
              <w:top w:val="single" w:color="D0D9E3" w:sz="1"/>
              <w:left w:val="single" w:color="D0D9E3" w:sz="1"/>
              <w:bottom w:val="single" w:color="D0D9E3" w:sz="1"/>
              <w:right w:val="single" w:color="D0D9E3" w:sz="1"/>
            </w:tcBorders>
            <w:shd w:fill="FFFFFF" w:val="clear"/>
            <w:tcMar>
              <w:top w:type="dxa" w:w="120"/>
              <w:left w:type="dxa" w:w="160"/>
              <w:bottom w:type="dxa" w:w="120"/>
              <w:right w:type="dxa" w:w="160"/>
            </w:tcMar>
          </w:tcPr>
          <w:p>
            <w:r>
              <w:rPr>
                <w:rFonts w:ascii="Arial" w:cs="Arial" w:eastAsia="Arial" w:hAnsi="Arial"/>
                <w:b/>
                <w:bCs/>
                <w:color w:val="0E7490"/>
                <w:sz w:val="22"/>
                <w:szCs w:val="22"/>
              </w:rPr>
              <w:t xml:space="preserve">+2.5 millones</w:t>
            </w:r>
          </w:p>
        </w:tc>
        <w:tc>
          <w:tcPr>
            <w:tcW w:type="dxa" w:w="3720"/>
            <w:tcBorders>
              <w:top w:val="single" w:color="D0D9E3" w:sz="1"/>
              <w:left w:val="single" w:color="D0D9E3" w:sz="1"/>
              <w:bottom w:val="single" w:color="D0D9E3" w:sz="1"/>
              <w:right w:val="single" w:color="D0D9E3" w:sz="1"/>
            </w:tcBorders>
            <w:shd w:fill="FFFFFF" w:val="clear"/>
            <w:tcMar>
              <w:top w:type="dxa" w:w="120"/>
              <w:left w:type="dxa" w:w="160"/>
              <w:bottom w:type="dxa" w:w="120"/>
              <w:right w:type="dxa" w:w="160"/>
            </w:tcMar>
          </w:tcPr>
          <w:p>
            <w:r>
              <w:rPr>
                <w:rFonts w:ascii="Arial" w:cs="Arial" w:eastAsia="Arial" w:hAnsi="Arial"/>
                <w:color w:val="555555"/>
                <w:sz w:val="20"/>
                <w:szCs w:val="20"/>
              </w:rPr>
              <w:t xml:space="preserve">Directores, gerentes, coordinadores en empresas medianas y grandes</w:t>
            </w:r>
          </w:p>
        </w:tc>
      </w:tr>
      <w:tr>
        <w:tc>
          <w:tcPr>
            <w:tcW w:type="dxa" w:w="3120"/>
            <w:tcBorders>
              <w:top w:val="single" w:color="D0D9E3" w:sz="1"/>
              <w:left w:val="single" w:color="D0D9E3" w:sz="1"/>
              <w:bottom w:val="single" w:color="D0D9E3" w:sz="1"/>
              <w:right w:val="single" w:color="D0D9E3" w:sz="1"/>
            </w:tcBorders>
            <w:shd w:fill="F5F7FA" w:val="clear"/>
            <w:tcMar>
              <w:top w:type="dxa" w:w="120"/>
              <w:left w:type="dxa" w:w="160"/>
              <w:bottom w:type="dxa" w:w="120"/>
              <w:right w:type="dxa" w:w="160"/>
            </w:tcMar>
          </w:tcPr>
          <w:p>
            <w:r>
              <w:rPr>
                <w:rFonts w:ascii="Arial" w:cs="Arial" w:eastAsia="Arial" w:hAnsi="Arial"/>
                <w:b/>
                <w:bCs/>
                <w:color w:val="1E3A5F"/>
                <w:sz w:val="20"/>
                <w:szCs w:val="20"/>
              </w:rPr>
              <w:t xml:space="preserve">Habla espanola activa en LinkedIn</w:t>
            </w:r>
          </w:p>
        </w:tc>
        <w:tc>
          <w:tcPr>
            <w:tcW w:type="dxa" w:w="2520"/>
            <w:tcBorders>
              <w:top w:val="single" w:color="D0D9E3" w:sz="1"/>
              <w:left w:val="single" w:color="D0D9E3" w:sz="1"/>
              <w:bottom w:val="single" w:color="D0D9E3" w:sz="1"/>
              <w:right w:val="single" w:color="D0D9E3" w:sz="1"/>
            </w:tcBorders>
            <w:shd w:fill="FFFFFF" w:val="clear"/>
            <w:tcMar>
              <w:top w:type="dxa" w:w="120"/>
              <w:left w:type="dxa" w:w="160"/>
              <w:bottom w:type="dxa" w:w="120"/>
              <w:right w:type="dxa" w:w="160"/>
            </w:tcMar>
          </w:tcPr>
          <w:p>
            <w:r>
              <w:rPr>
                <w:rFonts w:ascii="Arial" w:cs="Arial" w:eastAsia="Arial" w:hAnsi="Arial"/>
                <w:b/>
                <w:bCs/>
                <w:color w:val="0E7490"/>
                <w:sz w:val="22"/>
                <w:szCs w:val="22"/>
              </w:rPr>
              <w:t xml:space="preserve">+180 millones</w:t>
            </w:r>
          </w:p>
        </w:tc>
        <w:tc>
          <w:tcPr>
            <w:tcW w:type="dxa" w:w="3720"/>
            <w:tcBorders>
              <w:top w:val="single" w:color="D0D9E3" w:sz="1"/>
              <w:left w:val="single" w:color="D0D9E3" w:sz="1"/>
              <w:bottom w:val="single" w:color="D0D9E3" w:sz="1"/>
              <w:right w:val="single" w:color="D0D9E3" w:sz="1"/>
            </w:tcBorders>
            <w:shd w:fill="FFFFFF" w:val="clear"/>
            <w:tcMar>
              <w:top w:type="dxa" w:w="120"/>
              <w:left w:type="dxa" w:w="160"/>
              <w:bottom w:type="dxa" w:w="120"/>
              <w:right w:type="dxa" w:w="160"/>
            </w:tcMar>
          </w:tcPr>
          <w:p>
            <w:r>
              <w:rPr>
                <w:rFonts w:ascii="Arial" w:cs="Arial" w:eastAsia="Arial" w:hAnsi="Arial"/>
                <w:color w:val="555555"/>
                <w:sz w:val="20"/>
                <w:szCs w:val="20"/>
              </w:rPr>
              <w:t xml:space="preserve">Usuarios activos en el canal donde PeopleBot ya opera</w:t>
            </w:r>
          </w:p>
        </w:tc>
      </w:tr>
      <w:tr>
        <w:tc>
          <w:tcPr>
            <w:tcW w:type="dxa" w:w="3120"/>
            <w:tcBorders>
              <w:top w:val="single" w:color="D0D9E3" w:sz="1"/>
              <w:left w:val="single" w:color="D0D9E3" w:sz="1"/>
              <w:bottom w:val="single" w:color="D0D9E3" w:sz="1"/>
              <w:right w:val="single" w:color="D0D9E3" w:sz="1"/>
            </w:tcBorders>
            <w:shd w:fill="F5F7FA" w:val="clear"/>
            <w:tcMar>
              <w:top w:type="dxa" w:w="120"/>
              <w:left w:type="dxa" w:w="160"/>
              <w:bottom w:type="dxa" w:w="120"/>
              <w:right w:type="dxa" w:w="160"/>
            </w:tcMar>
          </w:tcPr>
          <w:p>
            <w:r>
              <w:rPr>
                <w:rFonts w:ascii="Arial" w:cs="Arial" w:eastAsia="Arial" w:hAnsi="Arial"/>
                <w:b/>
                <w:bCs/>
                <w:color w:val="1E3A5F"/>
                <w:sz w:val="20"/>
                <w:szCs w:val="20"/>
              </w:rPr>
              <w:t xml:space="preserve">Segmento objetivo inicial</w:t>
            </w:r>
          </w:p>
        </w:tc>
        <w:tc>
          <w:tcPr>
            <w:tcW w:type="dxa" w:w="2520"/>
            <w:tcBorders>
              <w:top w:val="single" w:color="D0D9E3" w:sz="1"/>
              <w:left w:val="single" w:color="D0D9E3" w:sz="1"/>
              <w:bottom w:val="single" w:color="D0D9E3" w:sz="1"/>
              <w:right w:val="single" w:color="D0D9E3" w:sz="1"/>
            </w:tcBorders>
            <w:shd w:fill="FFFFFF" w:val="clear"/>
            <w:tcMar>
              <w:top w:type="dxa" w:w="120"/>
              <w:left w:type="dxa" w:w="160"/>
              <w:bottom w:type="dxa" w:w="120"/>
              <w:right w:type="dxa" w:w="160"/>
            </w:tcMar>
          </w:tcPr>
          <w:p>
            <w:r>
              <w:rPr>
                <w:rFonts w:ascii="Arial" w:cs="Arial" w:eastAsia="Arial" w:hAnsi="Arial"/>
                <w:b/>
                <w:bCs/>
                <w:color w:val="0E7490"/>
                <w:sz w:val="22"/>
                <w:szCs w:val="22"/>
              </w:rPr>
              <w:t xml:space="preserve">50,000 – 200,000</w:t>
            </w:r>
          </w:p>
        </w:tc>
        <w:tc>
          <w:tcPr>
            <w:tcW w:type="dxa" w:w="3720"/>
            <w:tcBorders>
              <w:top w:val="single" w:color="D0D9E3" w:sz="1"/>
              <w:left w:val="single" w:color="D0D9E3" w:sz="1"/>
              <w:bottom w:val="single" w:color="D0D9E3" w:sz="1"/>
              <w:right w:val="single" w:color="D0D9E3" w:sz="1"/>
            </w:tcBorders>
            <w:shd w:fill="FFFFFF" w:val="clear"/>
            <w:tcMar>
              <w:top w:type="dxa" w:w="120"/>
              <w:left w:type="dxa" w:w="160"/>
              <w:bottom w:type="dxa" w:w="120"/>
              <w:right w:type="dxa" w:w="160"/>
            </w:tcMar>
          </w:tcPr>
          <w:p>
            <w:r>
              <w:rPr>
                <w:rFonts w:ascii="Arial" w:cs="Arial" w:eastAsia="Arial" w:hAnsi="Arial"/>
                <w:color w:val="555555"/>
                <w:sz w:val="20"/>
                <w:szCs w:val="20"/>
              </w:rPr>
              <w:t xml:space="preserve">Lideres de RRHH buscando formarse activamente en IA</w:t>
            </w:r>
          </w:p>
        </w:tc>
      </w:tr>
      <w:tr>
        <w:tc>
          <w:tcPr>
            <w:tcW w:type="dxa" w:w="3120"/>
            <w:tcBorders>
              <w:top w:val="single" w:color="D0D9E3" w:sz="1"/>
              <w:left w:val="single" w:color="D0D9E3" w:sz="1"/>
              <w:bottom w:val="single" w:color="D0D9E3" w:sz="1"/>
              <w:right w:val="single" w:color="D0D9E3" w:sz="1"/>
            </w:tcBorders>
            <w:shd w:fill="F5F7FA" w:val="clear"/>
            <w:tcMar>
              <w:top w:type="dxa" w:w="120"/>
              <w:left w:type="dxa" w:w="160"/>
              <w:bottom w:type="dxa" w:w="120"/>
              <w:right w:type="dxa" w:w="160"/>
            </w:tcMar>
          </w:tcPr>
          <w:p>
            <w:r>
              <w:rPr>
                <w:rFonts w:ascii="Arial" w:cs="Arial" w:eastAsia="Arial" w:hAnsi="Arial"/>
                <w:b/>
                <w:bCs/>
                <w:color w:val="1E3A5F"/>
                <w:sz w:val="20"/>
                <w:szCs w:val="20"/>
              </w:rPr>
              <w:t xml:space="preserve">Dispuestos a pagar por formacion premium</w:t>
            </w:r>
          </w:p>
        </w:tc>
        <w:tc>
          <w:tcPr>
            <w:tcW w:type="dxa" w:w="2520"/>
            <w:tcBorders>
              <w:top w:val="single" w:color="D0D9E3" w:sz="1"/>
              <w:left w:val="single" w:color="D0D9E3" w:sz="1"/>
              <w:bottom w:val="single" w:color="D0D9E3" w:sz="1"/>
              <w:right w:val="single" w:color="D0D9E3" w:sz="1"/>
            </w:tcBorders>
            <w:shd w:fill="FFFFFF" w:val="clear"/>
            <w:tcMar>
              <w:top w:type="dxa" w:w="120"/>
              <w:left w:type="dxa" w:w="160"/>
              <w:bottom w:type="dxa" w:w="120"/>
              <w:right w:type="dxa" w:w="160"/>
            </w:tcMar>
          </w:tcPr>
          <w:p>
            <w:r>
              <w:rPr>
                <w:rFonts w:ascii="Arial" w:cs="Arial" w:eastAsia="Arial" w:hAnsi="Arial"/>
                <w:b/>
                <w:bCs/>
                <w:color w:val="0E7490"/>
                <w:sz w:val="22"/>
                <w:szCs w:val="22"/>
              </w:rPr>
              <w:t xml:space="preserve">15 – 25%</w:t>
            </w:r>
          </w:p>
        </w:tc>
        <w:tc>
          <w:tcPr>
            <w:tcW w:type="dxa" w:w="3720"/>
            <w:tcBorders>
              <w:top w:val="single" w:color="D0D9E3" w:sz="1"/>
              <w:left w:val="single" w:color="D0D9E3" w:sz="1"/>
              <w:bottom w:val="single" w:color="D0D9E3" w:sz="1"/>
              <w:right w:val="single" w:color="D0D9E3" w:sz="1"/>
            </w:tcBorders>
            <w:shd w:fill="FFFFFF" w:val="clear"/>
            <w:tcMar>
              <w:top w:type="dxa" w:w="120"/>
              <w:left w:type="dxa" w:w="160"/>
              <w:bottom w:type="dxa" w:w="120"/>
              <w:right w:type="dxa" w:w="160"/>
            </w:tcMar>
          </w:tcPr>
          <w:p>
            <w:r>
              <w:rPr>
                <w:rFonts w:ascii="Arial" w:cs="Arial" w:eastAsia="Arial" w:hAnsi="Arial"/>
                <w:color w:val="555555"/>
                <w:sz w:val="20"/>
                <w:szCs w:val="20"/>
              </w:rPr>
              <w:t xml:space="preserve">Tipico en segmentos de desarrollo profesional en LATAM</w:t>
            </w:r>
          </w:p>
        </w:tc>
      </w:tr>
      <w:tr>
        <w:tc>
          <w:tcPr>
            <w:tcW w:type="dxa" w:w="3120"/>
            <w:tcBorders>
              <w:top w:val="single" w:color="D0D9E3" w:sz="1"/>
              <w:left w:val="single" w:color="D0D9E3" w:sz="1"/>
              <w:bottom w:val="single" w:color="D0D9E3" w:sz="1"/>
              <w:right w:val="single" w:color="D0D9E3" w:sz="1"/>
            </w:tcBorders>
            <w:shd w:fill="F5F7FA" w:val="clear"/>
            <w:tcMar>
              <w:top w:type="dxa" w:w="120"/>
              <w:left w:type="dxa" w:w="160"/>
              <w:bottom w:type="dxa" w:w="120"/>
              <w:right w:type="dxa" w:w="160"/>
            </w:tcMar>
          </w:tcPr>
          <w:p>
            <w:r>
              <w:rPr>
                <w:rFonts w:ascii="Arial" w:cs="Arial" w:eastAsia="Arial" w:hAnsi="Arial"/>
                <w:b/>
                <w:bCs/>
                <w:color w:val="1E3A5F"/>
                <w:sz w:val="20"/>
                <w:szCs w:val="20"/>
              </w:rPr>
              <w:t xml:space="preserve">Valor de mercado addressable (TAM)</w:t>
            </w:r>
          </w:p>
        </w:tc>
        <w:tc>
          <w:tcPr>
            <w:tcW w:type="dxa" w:w="2520"/>
            <w:tcBorders>
              <w:top w:val="single" w:color="D0D9E3" w:sz="1"/>
              <w:left w:val="single" w:color="D0D9E3" w:sz="1"/>
              <w:bottom w:val="single" w:color="D0D9E3" w:sz="1"/>
              <w:right w:val="single" w:color="D0D9E3" w:sz="1"/>
            </w:tcBorders>
            <w:shd w:fill="FFFFFF" w:val="clear"/>
            <w:tcMar>
              <w:top w:type="dxa" w:w="120"/>
              <w:left w:type="dxa" w:w="160"/>
              <w:bottom w:type="dxa" w:w="120"/>
              <w:right w:type="dxa" w:w="160"/>
            </w:tcMar>
          </w:tcPr>
          <w:p>
            <w:r>
              <w:rPr>
                <w:rFonts w:ascii="Arial" w:cs="Arial" w:eastAsia="Arial" w:hAnsi="Arial"/>
                <w:b/>
                <w:bCs/>
                <w:color w:val="0E7490"/>
                <w:sz w:val="22"/>
                <w:szCs w:val="22"/>
              </w:rPr>
              <w:t xml:space="preserve">$150M USD+</w:t>
            </w:r>
          </w:p>
        </w:tc>
        <w:tc>
          <w:tcPr>
            <w:tcW w:type="dxa" w:w="3720"/>
            <w:tcBorders>
              <w:top w:val="single" w:color="D0D9E3" w:sz="1"/>
              <w:left w:val="single" w:color="D0D9E3" w:sz="1"/>
              <w:bottom w:val="single" w:color="D0D9E3" w:sz="1"/>
              <w:right w:val="single" w:color="D0D9E3" w:sz="1"/>
            </w:tcBorders>
            <w:shd w:fill="FFFFFF" w:val="clear"/>
            <w:tcMar>
              <w:top w:type="dxa" w:w="120"/>
              <w:left w:type="dxa" w:w="160"/>
              <w:bottom w:type="dxa" w:w="120"/>
              <w:right w:type="dxa" w:w="160"/>
            </w:tcMar>
          </w:tcPr>
          <w:p>
            <w:r>
              <w:rPr>
                <w:rFonts w:ascii="Arial" w:cs="Arial" w:eastAsia="Arial" w:hAnsi="Arial"/>
                <w:color w:val="555555"/>
                <w:sz w:val="20"/>
                <w:szCs w:val="20"/>
              </w:rPr>
              <w:t xml:space="preserve">Estimado conservador a $150/ano por persona</w:t>
            </w:r>
          </w:p>
        </w:tc>
      </w:tr>
    </w:tbl>
    <w:p>
      <w:pPr>
        <w:spacing w:after="0" w:before="160"/>
      </w:pPr>
      <w:r>
        <w:t xml:space="preserve"/>
      </w:r>
    </w:p>
    <w:p>
      <w:pPr>
        <w:pStyle w:val="Heading2"/>
        <w:spacing w:after="160" w:before="300"/>
      </w:pPr>
      <w:r>
        <w:rPr>
          <w:rFonts w:ascii="Arial" w:cs="Arial" w:eastAsia="Arial" w:hAnsi="Arial"/>
          <w:b/>
          <w:bCs/>
          <w:color w:val="0E7490"/>
          <w:sz w:val="26"/>
          <w:szCs w:val="26"/>
        </w:rPr>
        <w:t xml:space="preserve">2.2 Por Que Ahora es el Momento</w:t>
      </w:r>
    </w:p>
    <w:p>
      <w:pPr>
        <w:spacing w:after="0" w:before="80"/>
      </w:pPr>
      <w:r>
        <w:t xml:space="preserve"/>
      </w:r>
    </w:p>
    <w:p>
      <w:pPr>
        <w:spacing w:after="120" w:before="80"/>
      </w:pPr>
      <w:r>
        <w:rPr>
          <w:rFonts w:ascii="Arial" w:cs="Arial" w:eastAsia="Arial" w:hAnsi="Arial"/>
          <w:color w:val="333333"/>
          <w:sz w:val="22"/>
          <w:szCs w:val="22"/>
        </w:rPr>
        <w:t xml:space="preserve">Las empresas en America Latina estan implementando herramientas de IA en RRHH (ATS con IA, herramientas de analisis de personas, chatbots de onboarding) sin que los profesionales de RRHH tengan el vocabulario o el criterio para evaluarlas. Esto crea una brecha de credibilidad profesional que genera ansiedad. PeopleBot resuelve esa ansiedad.</w:t>
      </w:r>
    </w:p>
    <w:p>
      <w:pPr>
        <w:spacing w:after="0" w:before="80"/>
      </w:pPr>
      <w:r>
        <w:t xml:space="preserve"/>
      </w:r>
    </w:p>
    <w:p>
      <w:pPr>
        <w:spacing w:after="120" w:before="80"/>
      </w:pPr>
      <w:r>
        <w:rPr>
          <w:rFonts w:ascii="Arial" w:cs="Arial" w:eastAsia="Arial" w:hAnsi="Arial"/>
          <w:color w:val="333333"/>
          <w:sz w:val="22"/>
          <w:szCs w:val="22"/>
        </w:rPr>
        <w:t xml:space="preserve">La ventana de oportunidad es los proximos 18 a 24 meses. Despues, las grandes plataformas de e-learning en espanol (Platzi, Coursera en Espanol, LinkedIn Learning) saturaran este espacio con cursos genericos. PeopleBot debe establecer su posicion de autoridad antes de esa saturacion.</w:t>
      </w:r>
    </w:p>
    <w:p>
      <w:pPr>
        <w:pBdr>
          <w:bottom w:val="single" w:color="0E7490" w:sz="4" w:space="1"/>
        </w:pBdr>
        <w:spacing w:after="200" w:before="200"/>
      </w:pPr>
      <w:r>
        <w:t xml:space="preserve"/>
      </w:r>
    </w:p>
    <w:p>
      <w:pPr>
        <w:pStyle w:val="Heading1"/>
        <w:spacing w:after="200" w:before="400"/>
      </w:pPr>
      <w:r>
        <w:rPr>
          <w:rFonts w:ascii="Arial" w:cs="Arial" w:eastAsia="Arial" w:hAnsi="Arial"/>
          <w:b/>
          <w:bCs/>
          <w:color w:val="1E3A5F"/>
          <w:sz w:val="32"/>
          <w:szCs w:val="32"/>
        </w:rPr>
        <w:t xml:space="preserve">3. El Monopolio: Por Que PeopleBot Puede Ganar</w:t>
      </w:r>
    </w:p>
    <w:p>
      <w:pPr>
        <w:spacing w:after="0" w:before="80"/>
      </w:pPr>
      <w:r>
        <w:t xml:space="preserve"/>
      </w:r>
    </w:p>
    <w:p>
      <w:pPr>
        <w:spacing w:after="120" w:before="80"/>
      </w:pPr>
      <w:r>
        <w:rPr>
          <w:rFonts w:ascii="Arial" w:cs="Arial" w:eastAsia="Arial" w:hAnsi="Arial"/>
          <w:color w:val="333333"/>
          <w:sz w:val="22"/>
          <w:szCs w:val="22"/>
        </w:rPr>
        <w:t xml:space="preserve">Thiel ensenio que los monopolios se construyen con cuatro tipos de ventajas: tecnologia propietaria, efectos de red, economias de escala y marca. PeopleBot tiene al menos tres de los cuatro hoy, aunque no los haya nombrado de esa manera.</w:t>
      </w:r>
    </w:p>
    <w:p>
      <w:pPr>
        <w:spacing w:after="0" w:before="120"/>
      </w:pPr>
      <w:r>
        <w:t xml:space="preserve"/>
      </w:r>
    </w:p>
    <w:p>
      <w:pPr>
        <w:pStyle w:val="Heading2"/>
        <w:spacing w:after="160" w:before="300"/>
      </w:pPr>
      <w:r>
        <w:rPr>
          <w:rFonts w:ascii="Arial" w:cs="Arial" w:eastAsia="Arial" w:hAnsi="Arial"/>
          <w:b/>
          <w:bCs/>
          <w:color w:val="0E7490"/>
          <w:sz w:val="26"/>
          <w:szCs w:val="26"/>
        </w:rPr>
        <w:t xml:space="preserve">3.1 Tecnologia Propietaria: El Corpus de Conocimiento</w:t>
      </w:r>
    </w:p>
    <w:p>
      <w:pPr>
        <w:spacing w:after="0" w:before="80"/>
      </w:pPr>
      <w:r>
        <w:t xml:space="preserve"/>
      </w:r>
    </w:p>
    <w:p>
      <w:pPr>
        <w:spacing w:after="120" w:before="80"/>
      </w:pPr>
      <w:r>
        <w:rPr>
          <w:rFonts w:ascii="Arial" w:cs="Arial" w:eastAsia="Arial" w:hAnsi="Arial"/>
          <w:color w:val="333333"/>
          <w:sz w:val="22"/>
          <w:szCs w:val="22"/>
        </w:rPr>
        <w:t xml:space="preserve">Cada episodio de podcast, cada newsletter, cada post en LinkedIn, Facebook e Instagram es contenido propietario que genera un corpus de conocimiento unico en el mercado hispano sobre IA aplicada a RRHH. Ese corpus tarda anos en construirse. Un competidor que empiece hoy no puede replicar 17+ semanas de produccion consistente, credibilidad acumulada y audiencia comprometida.</w:t>
      </w:r>
    </w:p>
    <w:p>
      <w:pPr>
        <w:spacing w:after="0" w:before="80"/>
      </w:pPr>
      <w:r>
        <w:t xml:space="preserve"/>
      </w:r>
    </w:p>
    <w:p>
      <w:pPr>
        <w:spacing w:after="120" w:before="80"/>
      </w:pPr>
      <w:r>
        <w:rPr>
          <w:rFonts w:ascii="Arial" w:cs="Arial" w:eastAsia="Arial" w:hAnsi="Arial"/>
          <w:color w:val="333333"/>
          <w:sz w:val="22"/>
          <w:szCs w:val="22"/>
        </w:rPr>
        <w:t xml:space="preserve">El siguiente paso es convertir ese corpus en tecnologia real: una base de conocimiento que permita a PeopleBot ofrecer consultoria personalizada, cursos modulares, y eventualmente, herramientas que los profesionales de RRHH usen en su trabajo diario.</w:t>
      </w:r>
    </w:p>
    <w:p>
      <w:pPr>
        <w:spacing w:after="0" w:before="120"/>
      </w:pPr>
      <w:r>
        <w:t xml:space="preserve"/>
      </w:r>
    </w:p>
    <w:p>
      <w:pPr>
        <w:pStyle w:val="Heading2"/>
        <w:spacing w:after="160" w:before="300"/>
      </w:pPr>
      <w:r>
        <w:rPr>
          <w:rFonts w:ascii="Arial" w:cs="Arial" w:eastAsia="Arial" w:hAnsi="Arial"/>
          <w:b/>
          <w:bCs/>
          <w:color w:val="0E7490"/>
          <w:sz w:val="26"/>
          <w:szCs w:val="26"/>
        </w:rPr>
        <w:t xml:space="preserve">3.2 Efectos de Red: La Comunidad como Moat</w:t>
      </w:r>
    </w:p>
    <w:p>
      <w:pPr>
        <w:spacing w:after="0" w:before="80"/>
      </w:pPr>
      <w:r>
        <w:t xml:space="preserve"/>
      </w:r>
    </w:p>
    <w:p>
      <w:pPr>
        <w:spacing w:after="120" w:before="80"/>
      </w:pPr>
      <w:r>
        <w:rPr>
          <w:rFonts w:ascii="Arial" w:cs="Arial" w:eastAsia="Arial" w:hAnsi="Arial"/>
          <w:color w:val="333333"/>
          <w:sz w:val="22"/>
          <w:szCs w:val="22"/>
        </w:rPr>
        <w:t xml:space="preserve">El capitulo de LinkedIn de PeopleBot no es solo un canal de distribucion. Es el nucleo de una comunidad. Cada nuevo suscriptor hace el newsletter mas valioso porque aumenta el numero de personas que pueden referenciar, comentar y amplificar el contenido. Esto es un efecto de red debil hoy, pero con la estrategia correcta puede convertirse en un efecto de red fuerte en 12 meses.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0F2F7" w:val="clear"/>
            <w:tcMar>
              <w:top w:type="dxa" w:w="200"/>
              <w:left w:type="dxa" w:w="200"/>
              <w:bottom w:type="dxa" w:w="80"/>
              <w:right w:type="dxa" w:w="200"/>
            </w:tcMar>
          </w:tcPr>
          <w:p>
            <w:r>
              <w:rPr>
                <w:rFonts w:ascii="Arial" w:cs="Arial" w:eastAsia="Arial" w:hAnsi="Arial"/>
                <w:b/>
                <w:bCs/>
                <w:color w:val="1E3A5F"/>
                <w:sz w:val="24"/>
                <w:szCs w:val="24"/>
              </w:rPr>
              <w:t xml:space="preserve">La Apuesta Estrategica</w:t>
            </w:r>
          </w:p>
        </w:tc>
      </w:tr>
      <w:tr>
        <w:tc>
          <w:tcPr>
            <w:tcW w:type="dxa" w:w="9360"/>
            <w:tcBorders>
              <w:top w:val="none" w:color="FFFFFF" w:sz="0"/>
              <w:left w:val="none" w:color="FFFFFF" w:sz="0"/>
              <w:bottom w:val="none" w:color="FFFFFF" w:sz="0"/>
              <w:right w:val="none" w:color="FFFFFF" w:sz="0"/>
            </w:tcBorders>
            <w:shd w:fill="E0F2F7" w:val="clear"/>
            <w:tcMar>
              <w:top w:type="dxa" w:w="80"/>
              <w:left w:type="dxa" w:w="200"/>
              <w:bottom w:type="dxa" w:w="200"/>
              <w:right w:type="dxa" w:w="200"/>
            </w:tcMar>
          </w:tcPr>
          <w:p>
            <w:r>
              <w:rPr>
                <w:rFonts w:ascii="Arial" w:cs="Arial" w:eastAsia="Arial" w:hAnsi="Arial"/>
                <w:color w:val="333333"/>
                <w:sz w:val="21"/>
                <w:szCs w:val="21"/>
              </w:rPr>
              <w:t xml:space="preserve">Convertir el newsletter de PeopleBot en el foro de referencia donde los profesionales de RRHH en habla hispana comparten sus experiencias reales con herramientas de IA. Cuando los suscriptores participan activamente, el producto mejora con cada nuevo miembro.</w:t>
            </w:r>
          </w:p>
        </w:tc>
      </w:tr>
    </w:tbl>
    <w:p>
      <w:pPr>
        <w:spacing w:after="0" w:before="160"/>
      </w:pPr>
      <w:r>
        <w:t xml:space="preserve"/>
      </w:r>
    </w:p>
    <w:p>
      <w:pPr>
        <w:pStyle w:val="Heading2"/>
        <w:spacing w:after="160" w:before="300"/>
      </w:pPr>
      <w:r>
        <w:rPr>
          <w:rFonts w:ascii="Arial" w:cs="Arial" w:eastAsia="Arial" w:hAnsi="Arial"/>
          <w:b/>
          <w:bCs/>
          <w:color w:val="0E7490"/>
          <w:sz w:val="26"/>
          <w:szCs w:val="26"/>
        </w:rPr>
        <w:t xml:space="preserve">3.3 Marca: La Confianza como Activo Principal</w:t>
      </w:r>
    </w:p>
    <w:p>
      <w:pPr>
        <w:spacing w:after="0" w:before="80"/>
      </w:pPr>
      <w:r>
        <w:t xml:space="preserve"/>
      </w:r>
    </w:p>
    <w:p>
      <w:pPr>
        <w:spacing w:after="120" w:before="80"/>
      </w:pPr>
      <w:r>
        <w:rPr>
          <w:rFonts w:ascii="Arial" w:cs="Arial" w:eastAsia="Arial" w:hAnsi="Arial"/>
          <w:color w:val="333333"/>
          <w:sz w:val="22"/>
          <w:szCs w:val="22"/>
        </w:rPr>
        <w:t xml:space="preserve">"PeopleBot" ya es una marca con identidad clara: la interseccion entre inteligencia artificial y talento humano, explicada en espanol para profesionales que necesitan aplicarla hoy. Esa claridad de posicionamiento es difici de replicar porque no es solo un nombre, es una promesa que se ha cumplido semana a semana durante mas de un ano.</w:t>
      </w:r>
    </w:p>
    <w:p>
      <w:pPr>
        <w:pBdr>
          <w:bottom w:val="single" w:color="0E7490" w:sz="4" w:space="1"/>
        </w:pBdr>
        <w:spacing w:after="200" w:before="200"/>
      </w:pPr>
      <w:r>
        <w:t xml:space="preserve"/>
      </w:r>
    </w:p>
    <w:p>
      <w:pPr>
        <w:pStyle w:val="Heading1"/>
        <w:spacing w:after="200" w:before="400"/>
      </w:pPr>
      <w:r>
        <w:rPr>
          <w:rFonts w:ascii="Arial" w:cs="Arial" w:eastAsia="Arial" w:hAnsi="Arial"/>
          <w:b/>
          <w:bCs/>
          <w:color w:val="1E3A5F"/>
          <w:sz w:val="32"/>
          <w:szCs w:val="32"/>
        </w:rPr>
        <w:t xml:space="preserve">4. Identidad de Marca: De Canal a Autoridad</w:t>
      </w:r>
    </w:p>
    <w:p>
      <w:pPr>
        <w:spacing w:after="0" w:before="80"/>
      </w:pPr>
      <w:r>
        <w:t xml:space="preserve"/>
      </w:r>
    </w:p>
    <w:p>
      <w:pPr>
        <w:spacing w:after="120" w:before="80"/>
      </w:pPr>
      <w:r>
        <w:rPr>
          <w:rFonts w:ascii="Arial" w:cs="Arial" w:eastAsia="Arial" w:hAnsi="Arial"/>
          <w:color w:val="333333"/>
          <w:sz w:val="22"/>
          <w:szCs w:val="22"/>
        </w:rPr>
        <w:t xml:space="preserve">La identidad actual de PeopleBot es solida como punto de partida. Pero para pasar de canal de contenido a consultora de referencia, la identidad de marca debe evolucionar en tres dimensiones: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9E3" w:sz="1"/>
              <w:left w:val="single" w:color="D0D9E3" w:sz="1"/>
              <w:bottom w:val="single" w:color="D0D9E3" w:sz="1"/>
              <w:right w:val="single" w:color="D0D9E3" w:sz="1"/>
            </w:tcBorders>
            <w:shd w:fill="E8F4F8" w:val="clear"/>
            <w:tcMar>
              <w:top w:type="dxa" w:w="160"/>
              <w:left w:type="dxa" w:w="180"/>
              <w:bottom w:type="dxa" w:w="160"/>
              <w:right w:type="dxa" w:w="180"/>
            </w:tcMar>
          </w:tcPr>
          <w:p>
            <w:pPr>
              <w:spacing w:after="120" w:before="0"/>
            </w:pPr>
            <w:r>
              <w:rPr>
                <w:rFonts w:ascii="Arial" w:cs="Arial" w:eastAsia="Arial" w:hAnsi="Arial"/>
                <w:b/>
                <w:bCs/>
                <w:color w:val="1E3A5F"/>
                <w:sz w:val="22"/>
                <w:szCs w:val="22"/>
              </w:rPr>
              <w:t xml:space="preserve">Identidad Actual (2024-2025)</w:t>
            </w:r>
          </w:p>
          <w:p>
            <w:pPr>
              <w:pStyle w:val="ListParagraph"/>
              <w:numPr>
                <w:ilvl w:val="0"/>
                <w:numId w:val="2"/>
              </w:numPr>
              <w:spacing w:after="60" w:before="60"/>
            </w:pPr>
            <w:r>
              <w:rPr>
                <w:rFonts w:ascii="Arial" w:cs="Arial" w:eastAsia="Arial" w:hAnsi="Arial"/>
                <w:color w:val="333333"/>
                <w:sz w:val="20"/>
                <w:szCs w:val="20"/>
              </w:rPr>
              <w:t xml:space="preserve">Canal digital de contenido</w:t>
            </w:r>
          </w:p>
          <w:p>
            <w:pPr>
              <w:pStyle w:val="ListParagraph"/>
              <w:numPr>
                <w:ilvl w:val="0"/>
                <w:numId w:val="2"/>
              </w:numPr>
              <w:spacing w:after="60" w:before="60"/>
            </w:pPr>
            <w:r>
              <w:rPr>
                <w:rFonts w:ascii="Arial" w:cs="Arial" w:eastAsia="Arial" w:hAnsi="Arial"/>
                <w:color w:val="333333"/>
                <w:sz w:val="20"/>
                <w:szCs w:val="20"/>
              </w:rPr>
              <w:t xml:space="preserve">Podcasts semanales y newsletters</w:t>
            </w:r>
          </w:p>
          <w:p>
            <w:pPr>
              <w:pStyle w:val="ListParagraph"/>
              <w:numPr>
                <w:ilvl w:val="0"/>
                <w:numId w:val="2"/>
              </w:numPr>
              <w:spacing w:after="60" w:before="60"/>
            </w:pPr>
            <w:r>
              <w:rPr>
                <w:rFonts w:ascii="Arial" w:cs="Arial" w:eastAsia="Arial" w:hAnsi="Arial"/>
                <w:color w:val="333333"/>
                <w:sz w:val="20"/>
                <w:szCs w:val="20"/>
              </w:rPr>
              <w:t xml:space="preserve">Tendencias y herramientas de IA</w:t>
            </w:r>
          </w:p>
          <w:p>
            <w:pPr>
              <w:pStyle w:val="ListParagraph"/>
              <w:numPr>
                <w:ilvl w:val="0"/>
                <w:numId w:val="2"/>
              </w:numPr>
              <w:spacing w:after="60" w:before="60"/>
            </w:pPr>
            <w:r>
              <w:rPr>
                <w:rFonts w:ascii="Arial" w:cs="Arial" w:eastAsia="Arial" w:hAnsi="Arial"/>
                <w:color w:val="333333"/>
                <w:sz w:val="20"/>
                <w:szCs w:val="20"/>
              </w:rPr>
              <w:t xml:space="preserve">Recurso para profesionales de RRHH</w:t>
            </w:r>
          </w:p>
          <w:p>
            <w:pPr>
              <w:pStyle w:val="ListParagraph"/>
              <w:numPr>
                <w:ilvl w:val="0"/>
                <w:numId w:val="2"/>
              </w:numPr>
              <w:spacing w:after="60" w:before="60"/>
            </w:pPr>
            <w:r>
              <w:rPr>
                <w:rFonts w:ascii="Arial" w:cs="Arial" w:eastAsia="Arial" w:hAnsi="Arial"/>
                <w:color w:val="333333"/>
                <w:sz w:val="20"/>
                <w:szCs w:val="20"/>
              </w:rPr>
              <w:t xml:space="preserve">El talento humano y la IA se potencian</w:t>
            </w:r>
          </w:p>
        </w:tc>
        <w:tc>
          <w:tcPr>
            <w:tcW w:type="dxa" w:w="4680"/>
            <w:tcBorders>
              <w:top w:val="single" w:color="D0D9E3" w:sz="1"/>
              <w:left w:val="single" w:color="D0D9E3" w:sz="1"/>
              <w:bottom w:val="single" w:color="D0D9E3" w:sz="1"/>
              <w:right w:val="single" w:color="D0D9E3" w:sz="1"/>
            </w:tcBorders>
            <w:shd w:fill="E0F2F7" w:val="clear"/>
            <w:tcMar>
              <w:top w:type="dxa" w:w="160"/>
              <w:left w:type="dxa" w:w="180"/>
              <w:bottom w:type="dxa" w:w="160"/>
              <w:right w:type="dxa" w:w="180"/>
            </w:tcMar>
          </w:tcPr>
          <w:p>
            <w:pPr>
              <w:spacing w:after="120" w:before="0"/>
            </w:pPr>
            <w:r>
              <w:rPr>
                <w:rFonts w:ascii="Arial" w:cs="Arial" w:eastAsia="Arial" w:hAnsi="Arial"/>
                <w:b/>
                <w:bCs/>
                <w:color w:val="1E3A5F"/>
                <w:sz w:val="22"/>
                <w:szCs w:val="22"/>
              </w:rPr>
              <w:t xml:space="preserve">Identidad Evolucionada (2026-2027)</w:t>
            </w:r>
          </w:p>
          <w:p>
            <w:pPr>
              <w:pStyle w:val="ListParagraph"/>
              <w:numPr>
                <w:ilvl w:val="0"/>
                <w:numId w:val="2"/>
              </w:numPr>
              <w:spacing w:after="60" w:before="60"/>
            </w:pPr>
            <w:r>
              <w:rPr>
                <w:rFonts w:ascii="Arial" w:cs="Arial" w:eastAsia="Arial" w:hAnsi="Arial"/>
                <w:color w:val="333333"/>
                <w:sz w:val="20"/>
                <w:szCs w:val="20"/>
              </w:rPr>
              <w:t xml:space="preserve">Plataforma de autoridad y consultoria</w:t>
            </w:r>
          </w:p>
          <w:p>
            <w:pPr>
              <w:pStyle w:val="ListParagraph"/>
              <w:numPr>
                <w:ilvl w:val="0"/>
                <w:numId w:val="2"/>
              </w:numPr>
              <w:spacing w:after="60" w:before="60"/>
            </w:pPr>
            <w:r>
              <w:rPr>
                <w:rFonts w:ascii="Arial" w:cs="Arial" w:eastAsia="Arial" w:hAnsi="Arial"/>
                <w:color w:val="333333"/>
                <w:sz w:val="20"/>
                <w:szCs w:val="20"/>
              </w:rPr>
              <w:t xml:space="preserve">Formacion, certificacion y asesoria directa</w:t>
            </w:r>
          </w:p>
          <w:p>
            <w:pPr>
              <w:pStyle w:val="ListParagraph"/>
              <w:numPr>
                <w:ilvl w:val="0"/>
                <w:numId w:val="2"/>
              </w:numPr>
              <w:spacing w:after="60" w:before="60"/>
            </w:pPr>
            <w:r>
              <w:rPr>
                <w:rFonts w:ascii="Arial" w:cs="Arial" w:eastAsia="Arial" w:hAnsi="Arial"/>
                <w:color w:val="333333"/>
                <w:sz w:val="20"/>
                <w:szCs w:val="20"/>
              </w:rPr>
              <w:t xml:space="preserve">Implementacion practica y ROI medible</w:t>
            </w:r>
          </w:p>
          <w:p>
            <w:pPr>
              <w:pStyle w:val="ListParagraph"/>
              <w:numPr>
                <w:ilvl w:val="0"/>
                <w:numId w:val="2"/>
              </w:numPr>
              <w:spacing w:after="60" w:before="60"/>
            </w:pPr>
            <w:r>
              <w:rPr>
                <w:rFonts w:ascii="Arial" w:cs="Arial" w:eastAsia="Arial" w:hAnsi="Arial"/>
                <w:color w:val="333333"/>
                <w:sz w:val="20"/>
                <w:szCs w:val="20"/>
              </w:rPr>
              <w:t xml:space="preserve">Socio estrategico del lider de RRHH</w:t>
            </w:r>
          </w:p>
          <w:p>
            <w:pPr>
              <w:pStyle w:val="ListParagraph"/>
              <w:numPr>
                <w:ilvl w:val="0"/>
                <w:numId w:val="2"/>
              </w:numPr>
              <w:spacing w:after="60" w:before="60"/>
            </w:pPr>
            <w:r>
              <w:rPr>
                <w:rFonts w:ascii="Arial" w:cs="Arial" w:eastAsia="Arial" w:hAnsi="Arial"/>
                <w:color w:val="333333"/>
                <w:sz w:val="20"/>
                <w:szCs w:val="20"/>
              </w:rPr>
              <w:t xml:space="preserve">PeopleBot: donde los lideres de RRHH se preparan para el futuro</w:t>
            </w:r>
          </w:p>
        </w:tc>
      </w:tr>
    </w:tbl>
    <w:p>
      <w:pPr>
        <w:spacing w:after="0" w:before="160"/>
      </w:pPr>
      <w:r>
        <w:t xml:space="preserve"/>
      </w:r>
    </w:p>
    <w:p>
      <w:pPr>
        <w:spacing w:after="120" w:before="80"/>
      </w:pPr>
      <w:r>
        <w:rPr>
          <w:rFonts w:ascii="Arial" w:cs="Arial" w:eastAsia="Arial" w:hAnsi="Arial"/>
          <w:color w:val="333333"/>
          <w:sz w:val="22"/>
          <w:szCs w:val="22"/>
        </w:rPr>
        <w:t xml:space="preserve">El mensaje central debe evolucionar de "te informamos sobre IA" a "te preparamos para liderar con IA". La diferencia es accion. Las audiencias que pagan por formacion y consultoria no buscan actualizaciones. Buscan transformacion de su capacidad profesional.</w:t>
      </w:r>
    </w:p>
    <w:p>
      <w:pPr>
        <w:spacing w:after="0" w:before="80"/>
      </w:pPr>
      <w:r>
        <w:t xml:space="preserve"/>
      </w:r>
    </w:p>
    <w:p>
      <w:pPr>
        <w:pStyle w:val="Heading2"/>
        <w:spacing w:after="160" w:before="300"/>
      </w:pPr>
      <w:r>
        <w:rPr>
          <w:rFonts w:ascii="Arial" w:cs="Arial" w:eastAsia="Arial" w:hAnsi="Arial"/>
          <w:b/>
          <w:bCs/>
          <w:color w:val="0E7490"/>
          <w:sz w:val="26"/>
          <w:szCs w:val="26"/>
        </w:rPr>
        <w:t xml:space="preserve">4.1 Pilares de Comunicacion de Marca</w:t>
      </w:r>
    </w:p>
    <w:p>
      <w:pPr>
        <w:spacing w:after="0" w:before="80"/>
      </w:pPr>
      <w:r>
        <w:t xml:space="preserve"/>
      </w:r>
    </w:p>
    <w:p>
      <w:pPr>
        <w:pStyle w:val="ListParagraph"/>
        <w:numPr>
          <w:ilvl w:val="0"/>
          <w:numId w:val="3"/>
        </w:numPr>
        <w:spacing w:after="80" w:before="80"/>
      </w:pPr>
      <w:r>
        <w:rPr>
          <w:rFonts w:ascii="Arial" w:cs="Arial" w:eastAsia="Arial" w:hAnsi="Arial"/>
          <w:b/>
          <w:bCs/>
          <w:color w:val="1E3A5F"/>
          <w:sz w:val="22"/>
          <w:szCs w:val="22"/>
        </w:rPr>
        <w:t xml:space="preserve">Autoridad sin elitismo: </w:t>
      </w:r>
      <w:r>
        <w:rPr>
          <w:rFonts w:ascii="Arial" w:cs="Arial" w:eastAsia="Arial" w:hAnsi="Arial"/>
          <w:color w:val="333333"/>
          <w:sz w:val="22"/>
          <w:szCs w:val="22"/>
        </w:rPr>
        <w:t xml:space="preserve">Hablas a profesionales que ya son expertos en su campo. La IA es la herramienta nueva, no el reemplazo de su expertise.</w:t>
      </w:r>
    </w:p>
    <w:p>
      <w:pPr>
        <w:pStyle w:val="ListParagraph"/>
        <w:numPr>
          <w:ilvl w:val="0"/>
          <w:numId w:val="3"/>
        </w:numPr>
        <w:spacing w:after="80" w:before="80"/>
      </w:pPr>
      <w:r>
        <w:rPr>
          <w:rFonts w:ascii="Arial" w:cs="Arial" w:eastAsia="Arial" w:hAnsi="Arial"/>
          <w:b/>
          <w:bCs/>
          <w:color w:val="1E3A5F"/>
          <w:sz w:val="22"/>
          <w:szCs w:val="22"/>
        </w:rPr>
        <w:t xml:space="preserve">Practicidad radical: </w:t>
      </w:r>
      <w:r>
        <w:rPr>
          <w:rFonts w:ascii="Arial" w:cs="Arial" w:eastAsia="Arial" w:hAnsi="Arial"/>
          <w:color w:val="333333"/>
          <w:sz w:val="22"/>
          <w:szCs w:val="22"/>
        </w:rPr>
        <w:t xml:space="preserve">Cada pieza de contenido debe terminar con algo aplicable esta semana, no en el futuro abstracto.</w:t>
      </w:r>
    </w:p>
    <w:p>
      <w:pPr>
        <w:pStyle w:val="ListParagraph"/>
        <w:numPr>
          <w:ilvl w:val="0"/>
          <w:numId w:val="3"/>
        </w:numPr>
        <w:spacing w:after="80" w:before="80"/>
      </w:pPr>
      <w:r>
        <w:rPr>
          <w:rFonts w:ascii="Arial" w:cs="Arial" w:eastAsia="Arial" w:hAnsi="Arial"/>
          <w:b/>
          <w:bCs/>
          <w:color w:val="1E3A5F"/>
          <w:sz w:val="22"/>
          <w:szCs w:val="22"/>
        </w:rPr>
        <w:t xml:space="preserve">Proximidad cultural: </w:t>
      </w:r>
      <w:r>
        <w:rPr>
          <w:rFonts w:ascii="Arial" w:cs="Arial" w:eastAsia="Arial" w:hAnsi="Arial"/>
          <w:color w:val="333333"/>
          <w:sz w:val="22"/>
          <w:szCs w:val="22"/>
        </w:rPr>
        <w:t xml:space="preserve">Los ejemplos, casos y referencias son latinoamericanos y en espanol. No son traducciones de Harvard Business Review.</w:t>
      </w:r>
    </w:p>
    <w:p>
      <w:pPr>
        <w:pStyle w:val="ListParagraph"/>
        <w:numPr>
          <w:ilvl w:val="0"/>
          <w:numId w:val="3"/>
        </w:numPr>
        <w:spacing w:after="80" w:before="80"/>
      </w:pPr>
      <w:r>
        <w:rPr>
          <w:rFonts w:ascii="Arial" w:cs="Arial" w:eastAsia="Arial" w:hAnsi="Arial"/>
          <w:b/>
          <w:bCs/>
          <w:color w:val="1E3A5F"/>
          <w:sz w:val="22"/>
          <w:szCs w:val="22"/>
        </w:rPr>
        <w:t xml:space="preserve">Voz directa: </w:t>
      </w:r>
      <w:r>
        <w:rPr>
          <w:rFonts w:ascii="Arial" w:cs="Arial" w:eastAsia="Arial" w:hAnsi="Arial"/>
          <w:color w:val="333333"/>
          <w:sz w:val="22"/>
          <w:szCs w:val="22"/>
        </w:rPr>
        <w:t xml:space="preserve">Gustavo Valbuena es la cara y la voz de PeopleBot. La marca personal y la marca de negocio son inseparables en esta etapa. Eso no es debilidad, es la ventaja mas grande.</w:t>
      </w:r>
    </w:p>
    <w:p>
      <w:pPr>
        <w:pBdr>
          <w:bottom w:val="single" w:color="0E7490" w:sz="4" w:space="1"/>
        </w:pBdr>
        <w:spacing w:after="200" w:before="200"/>
      </w:pPr>
      <w:r>
        <w:t xml:space="preserve"/>
      </w:r>
    </w:p>
    <w:p>
      <w:pPr>
        <w:pStyle w:val="Heading1"/>
        <w:spacing w:after="200" w:before="400"/>
      </w:pPr>
      <w:r>
        <w:rPr>
          <w:rFonts w:ascii="Arial" w:cs="Arial" w:eastAsia="Arial" w:hAnsi="Arial"/>
          <w:b/>
          <w:bCs/>
          <w:color w:val="1E3A5F"/>
          <w:sz w:val="32"/>
          <w:szCs w:val="32"/>
        </w:rPr>
        <w:t xml:space="preserve">5. Plan de Marketing: Distribucion como Ventaja Competitiva</w:t>
      </w:r>
    </w:p>
    <w:p>
      <w:pPr>
        <w:spacing w:after="0" w:before="80"/>
      </w:pPr>
      <w:r>
        <w:t xml:space="preserve"/>
      </w:r>
    </w:p>
    <w:p>
      <w:pPr>
        <w:spacing w:after="120" w:before="80"/>
      </w:pPr>
      <w:r>
        <w:rPr>
          <w:rFonts w:ascii="Arial" w:cs="Arial" w:eastAsia="Arial" w:hAnsi="Arial"/>
          <w:color w:val="333333"/>
          <w:sz w:val="22"/>
          <w:szCs w:val="22"/>
        </w:rPr>
        <w:t xml:space="preserve">Thiel escribio que la distribucion es tan importante como el producto. La mayoria de los negocios de contenido y consultoria fracasan no por falta de calidad, sino por falta de distribucion sistematica. PeopleBot ya tiene los canales correctos. El plan es hacerlos trabajar juntos con intencion.</w:t>
      </w:r>
    </w:p>
    <w:p>
      <w:pPr>
        <w:spacing w:after="0" w:before="120"/>
      </w:pPr>
      <w:r>
        <w:t xml:space="preserve"/>
      </w:r>
    </w:p>
    <w:p>
      <w:pPr>
        <w:pStyle w:val="Heading2"/>
        <w:spacing w:after="160" w:before="300"/>
      </w:pPr>
      <w:r>
        <w:rPr>
          <w:rFonts w:ascii="Arial" w:cs="Arial" w:eastAsia="Arial" w:hAnsi="Arial"/>
          <w:b/>
          <w:bCs/>
          <w:color w:val="0E7490"/>
          <w:sz w:val="26"/>
          <w:szCs w:val="26"/>
        </w:rPr>
        <w:t xml:space="preserve">5.1 LinkedIn: El Canal Principal</w:t>
      </w:r>
    </w:p>
    <w:p>
      <w:pPr>
        <w:spacing w:after="0" w:before="80"/>
      </w:pPr>
      <w:r>
        <w:t xml:space="preserve"/>
      </w:r>
    </w:p>
    <w:p>
      <w:pPr>
        <w:spacing w:after="120" w:before="80"/>
      </w:pPr>
      <w:r>
        <w:rPr>
          <w:rFonts w:ascii="Arial" w:cs="Arial" w:eastAsia="Arial" w:hAnsi="Arial"/>
          <w:color w:val="333333"/>
          <w:sz w:val="22"/>
          <w:szCs w:val="22"/>
        </w:rPr>
        <w:t xml:space="preserve">LinkedIn es el canal correcto para este publico. Los directores y gerentes de RRHH estan ahi, en modo profesional, buscando credibilidad y conocimiento. El capitulo de LinkedIn con newsletter semanal es el activo de mayor valor de PeopleBot. Aqui va la estrategia especifica:</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D0D9E3" w:sz="1"/>
              <w:left w:val="single" w:color="D0D9E3" w:sz="1"/>
              <w:bottom w:val="single" w:color="D0D9E3" w:sz="1"/>
              <w:right w:val="single" w:color="D0D9E3" w:sz="1"/>
            </w:tcBorders>
            <w:shd w:fill="1E3A5F" w:val="clear"/>
            <w:tcMar>
              <w:top w:type="dxa" w:w="120"/>
              <w:left w:type="dxa" w:w="160"/>
              <w:bottom w:type="dxa" w:w="120"/>
              <w:right w:type="dxa" w:w="160"/>
            </w:tcMar>
          </w:tcPr>
          <w:p>
            <w:r>
              <w:rPr>
                <w:rFonts w:ascii="Arial" w:cs="Arial" w:eastAsia="Arial" w:hAnsi="Arial"/>
                <w:b/>
                <w:bCs/>
                <w:color w:val="FFFFFF"/>
                <w:sz w:val="20"/>
                <w:szCs w:val="20"/>
              </w:rPr>
              <w:t xml:space="preserve">Formato</w:t>
            </w:r>
          </w:p>
        </w:tc>
        <w:tc>
          <w:tcPr>
            <w:tcW w:type="dxa" w:w="3760"/>
            <w:tcBorders>
              <w:top w:val="single" w:color="D0D9E3" w:sz="1"/>
              <w:left w:val="single" w:color="D0D9E3" w:sz="1"/>
              <w:bottom w:val="single" w:color="D0D9E3" w:sz="1"/>
              <w:right w:val="single" w:color="D0D9E3" w:sz="1"/>
            </w:tcBorders>
            <w:shd w:fill="1E3A5F" w:val="clear"/>
            <w:tcMar>
              <w:top w:type="dxa" w:w="120"/>
              <w:left w:type="dxa" w:w="160"/>
              <w:bottom w:type="dxa" w:w="120"/>
              <w:right w:type="dxa" w:w="160"/>
            </w:tcMar>
          </w:tcPr>
          <w:p>
            <w:r>
              <w:rPr>
                <w:rFonts w:ascii="Arial" w:cs="Arial" w:eastAsia="Arial" w:hAnsi="Arial"/>
                <w:b/>
                <w:bCs/>
                <w:color w:val="FFFFFF"/>
                <w:sz w:val="20"/>
                <w:szCs w:val="20"/>
              </w:rPr>
              <w:t xml:space="preserve">Objetivo</w:t>
            </w:r>
          </w:p>
        </w:tc>
        <w:tc>
          <w:tcPr>
            <w:tcW w:type="dxa" w:w="3400"/>
            <w:tcBorders>
              <w:top w:val="single" w:color="D0D9E3" w:sz="1"/>
              <w:left w:val="single" w:color="D0D9E3" w:sz="1"/>
              <w:bottom w:val="single" w:color="D0D9E3" w:sz="1"/>
              <w:right w:val="single" w:color="D0D9E3" w:sz="1"/>
            </w:tcBorders>
            <w:shd w:fill="1E3A5F" w:val="clear"/>
            <w:tcMar>
              <w:top w:type="dxa" w:w="120"/>
              <w:left w:type="dxa" w:w="160"/>
              <w:bottom w:type="dxa" w:w="120"/>
              <w:right w:type="dxa" w:w="160"/>
            </w:tcMar>
          </w:tcPr>
          <w:p>
            <w:r>
              <w:rPr>
                <w:rFonts w:ascii="Arial" w:cs="Arial" w:eastAsia="Arial" w:hAnsi="Arial"/>
                <w:b/>
                <w:bCs/>
                <w:color w:val="FFFFFF"/>
                <w:sz w:val="20"/>
                <w:szCs w:val="20"/>
              </w:rPr>
              <w:t xml:space="preserve">Frecuencia</w:t>
            </w:r>
          </w:p>
        </w:tc>
      </w:tr>
      <w:tr>
        <w:tc>
          <w:tcPr>
            <w:tcW w:type="dxa" w:w="2200"/>
            <w:tcBorders>
              <w:top w:val="single" w:color="D0D9E3" w:sz="1"/>
              <w:left w:val="single" w:color="D0D9E3" w:sz="1"/>
              <w:bottom w:val="single" w:color="D0D9E3" w:sz="1"/>
              <w:right w:val="single" w:color="D0D9E3" w:sz="1"/>
            </w:tcBorders>
            <w:shd w:fill="FFFFFF" w:val="clear"/>
            <w:tcMar>
              <w:top w:type="dxa" w:w="100"/>
              <w:left w:type="dxa" w:w="160"/>
              <w:bottom w:type="dxa" w:w="100"/>
              <w:right w:type="dxa" w:w="160"/>
            </w:tcMar>
          </w:tcPr>
          <w:p>
            <w:r>
              <w:rPr>
                <w:rFonts w:ascii="Arial" w:cs="Arial" w:eastAsia="Arial" w:hAnsi="Arial"/>
                <w:b/>
                <w:bCs/>
                <w:color w:val="0E7490"/>
                <w:sz w:val="20"/>
                <w:szCs w:val="20"/>
              </w:rPr>
              <w:t xml:space="preserve">Newsletter semanal</w:t>
            </w:r>
          </w:p>
        </w:tc>
        <w:tc>
          <w:tcPr>
            <w:tcW w:type="dxa" w:w="3760"/>
            <w:tcBorders>
              <w:top w:val="single" w:color="D0D9E3" w:sz="1"/>
              <w:left w:val="single" w:color="D0D9E3" w:sz="1"/>
              <w:bottom w:val="single" w:color="D0D9E3" w:sz="1"/>
              <w:right w:val="single" w:color="D0D9E3"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Fidelizar suscriptores con valor consistente y profundidad</w:t>
            </w:r>
          </w:p>
        </w:tc>
        <w:tc>
          <w:tcPr>
            <w:tcW w:type="dxa" w:w="3400"/>
            <w:tcBorders>
              <w:top w:val="single" w:color="D0D9E3" w:sz="1"/>
              <w:left w:val="single" w:color="D0D9E3" w:sz="1"/>
              <w:bottom w:val="single" w:color="D0D9E3" w:sz="1"/>
              <w:right w:val="single" w:color="D0D9E3"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1 vez por semana, lunes</w:t>
            </w:r>
          </w:p>
        </w:tc>
      </w:tr>
      <w:tr>
        <w:tc>
          <w:tcPr>
            <w:tcW w:type="dxa" w:w="2200"/>
            <w:tcBorders>
              <w:top w:val="single" w:color="D0D9E3" w:sz="1"/>
              <w:left w:val="single" w:color="D0D9E3" w:sz="1"/>
              <w:bottom w:val="single" w:color="D0D9E3" w:sz="1"/>
              <w:right w:val="single" w:color="D0D9E3" w:sz="1"/>
            </w:tcBorders>
            <w:shd w:fill="F5F7FA" w:val="clear"/>
            <w:tcMar>
              <w:top w:type="dxa" w:w="100"/>
              <w:left w:type="dxa" w:w="160"/>
              <w:bottom w:type="dxa" w:w="100"/>
              <w:right w:type="dxa" w:w="160"/>
            </w:tcMar>
          </w:tcPr>
          <w:p>
            <w:r>
              <w:rPr>
                <w:rFonts w:ascii="Arial" w:cs="Arial" w:eastAsia="Arial" w:hAnsi="Arial"/>
                <w:b/>
                <w:bCs/>
                <w:color w:val="0E7490"/>
                <w:sz w:val="20"/>
                <w:szCs w:val="20"/>
              </w:rPr>
              <w:t xml:space="preserve">Posts de opinion (texto)</w:t>
            </w:r>
          </w:p>
        </w:tc>
        <w:tc>
          <w:tcPr>
            <w:tcW w:type="dxa" w:w="3760"/>
            <w:tcBorders>
              <w:top w:val="single" w:color="D0D9E3" w:sz="1"/>
              <w:left w:val="single" w:color="D0D9E3" w:sz="1"/>
              <w:bottom w:val="single" w:color="D0D9E3" w:sz="1"/>
              <w:right w:val="single" w:color="D0D9E3" w:sz="1"/>
            </w:tcBorders>
            <w:shd w:fill="F5F7FA" w:val="clear"/>
            <w:tcMar>
              <w:top w:type="dxa" w:w="100"/>
              <w:left w:type="dxa" w:w="160"/>
              <w:bottom w:type="dxa" w:w="100"/>
              <w:right w:type="dxa" w:w="160"/>
            </w:tcMar>
          </w:tcPr>
          <w:p>
            <w:r>
              <w:rPr>
                <w:rFonts w:ascii="Arial" w:cs="Arial" w:eastAsia="Arial" w:hAnsi="Arial"/>
                <w:color w:val="333333"/>
                <w:sz w:val="20"/>
                <w:szCs w:val="20"/>
              </w:rPr>
              <w:t xml:space="preserve">Posicionar a Gustavo como pensador contrario y riguroso</w:t>
            </w:r>
          </w:p>
        </w:tc>
        <w:tc>
          <w:tcPr>
            <w:tcW w:type="dxa" w:w="3400"/>
            <w:tcBorders>
              <w:top w:val="single" w:color="D0D9E3" w:sz="1"/>
              <w:left w:val="single" w:color="D0D9E3" w:sz="1"/>
              <w:bottom w:val="single" w:color="D0D9E3" w:sz="1"/>
              <w:right w:val="single" w:color="D0D9E3" w:sz="1"/>
            </w:tcBorders>
            <w:shd w:fill="F5F7FA" w:val="clear"/>
            <w:tcMar>
              <w:top w:type="dxa" w:w="100"/>
              <w:left w:type="dxa" w:w="160"/>
              <w:bottom w:type="dxa" w:w="100"/>
              <w:right w:type="dxa" w:w="160"/>
            </w:tcMar>
          </w:tcPr>
          <w:p>
            <w:r>
              <w:rPr>
                <w:rFonts w:ascii="Arial" w:cs="Arial" w:eastAsia="Arial" w:hAnsi="Arial"/>
                <w:color w:val="555555"/>
                <w:sz w:val="20"/>
                <w:szCs w:val="20"/>
              </w:rPr>
              <w:t xml:space="preserve">3 veces por semana</w:t>
            </w:r>
          </w:p>
        </w:tc>
      </w:tr>
      <w:tr>
        <w:tc>
          <w:tcPr>
            <w:tcW w:type="dxa" w:w="2200"/>
            <w:tcBorders>
              <w:top w:val="single" w:color="D0D9E3" w:sz="1"/>
              <w:left w:val="single" w:color="D0D9E3" w:sz="1"/>
              <w:bottom w:val="single" w:color="D0D9E3" w:sz="1"/>
              <w:right w:val="single" w:color="D0D9E3" w:sz="1"/>
            </w:tcBorders>
            <w:shd w:fill="FFFFFF" w:val="clear"/>
            <w:tcMar>
              <w:top w:type="dxa" w:w="100"/>
              <w:left w:type="dxa" w:w="160"/>
              <w:bottom w:type="dxa" w:w="100"/>
              <w:right w:type="dxa" w:w="160"/>
            </w:tcMar>
          </w:tcPr>
          <w:p>
            <w:r>
              <w:rPr>
                <w:rFonts w:ascii="Arial" w:cs="Arial" w:eastAsia="Arial" w:hAnsi="Arial"/>
                <w:b/>
                <w:bCs/>
                <w:color w:val="0E7490"/>
                <w:sz w:val="20"/>
                <w:szCs w:val="20"/>
              </w:rPr>
              <w:t xml:space="preserve">Carruseles de herramientas</w:t>
            </w:r>
          </w:p>
        </w:tc>
        <w:tc>
          <w:tcPr>
            <w:tcW w:type="dxa" w:w="3760"/>
            <w:tcBorders>
              <w:top w:val="single" w:color="D0D9E3" w:sz="1"/>
              <w:left w:val="single" w:color="D0D9E3" w:sz="1"/>
              <w:bottom w:val="single" w:color="D0D9E3" w:sz="1"/>
              <w:right w:val="single" w:color="D0D9E3"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Mostrar aplicacion practica concreta de herramientas de IA en RRHH</w:t>
            </w:r>
          </w:p>
        </w:tc>
        <w:tc>
          <w:tcPr>
            <w:tcW w:type="dxa" w:w="3400"/>
            <w:tcBorders>
              <w:top w:val="single" w:color="D0D9E3" w:sz="1"/>
              <w:left w:val="single" w:color="D0D9E3" w:sz="1"/>
              <w:bottom w:val="single" w:color="D0D9E3" w:sz="1"/>
              <w:right w:val="single" w:color="D0D9E3"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1 vez por semana</w:t>
            </w:r>
          </w:p>
        </w:tc>
      </w:tr>
      <w:tr>
        <w:tc>
          <w:tcPr>
            <w:tcW w:type="dxa" w:w="2200"/>
            <w:tcBorders>
              <w:top w:val="single" w:color="D0D9E3" w:sz="1"/>
              <w:left w:val="single" w:color="D0D9E3" w:sz="1"/>
              <w:bottom w:val="single" w:color="D0D9E3" w:sz="1"/>
              <w:right w:val="single" w:color="D0D9E3" w:sz="1"/>
            </w:tcBorders>
            <w:shd w:fill="F5F7FA" w:val="clear"/>
            <w:tcMar>
              <w:top w:type="dxa" w:w="100"/>
              <w:left w:type="dxa" w:w="160"/>
              <w:bottom w:type="dxa" w:w="100"/>
              <w:right w:type="dxa" w:w="160"/>
            </w:tcMar>
          </w:tcPr>
          <w:p>
            <w:r>
              <w:rPr>
                <w:rFonts w:ascii="Arial" w:cs="Arial" w:eastAsia="Arial" w:hAnsi="Arial"/>
                <w:b/>
                <w:bCs/>
                <w:color w:val="0E7490"/>
                <w:sz w:val="20"/>
                <w:szCs w:val="20"/>
              </w:rPr>
              <w:t xml:space="preserve">Encuestas estrategicas</w:t>
            </w:r>
          </w:p>
        </w:tc>
        <w:tc>
          <w:tcPr>
            <w:tcW w:type="dxa" w:w="3760"/>
            <w:tcBorders>
              <w:top w:val="single" w:color="D0D9E3" w:sz="1"/>
              <w:left w:val="single" w:color="D0D9E3" w:sz="1"/>
              <w:bottom w:val="single" w:color="D0D9E3" w:sz="1"/>
              <w:right w:val="single" w:color="D0D9E3" w:sz="1"/>
            </w:tcBorders>
            <w:shd w:fill="F5F7FA" w:val="clear"/>
            <w:tcMar>
              <w:top w:type="dxa" w:w="100"/>
              <w:left w:type="dxa" w:w="160"/>
              <w:bottom w:type="dxa" w:w="100"/>
              <w:right w:type="dxa" w:w="160"/>
            </w:tcMar>
          </w:tcPr>
          <w:p>
            <w:r>
              <w:rPr>
                <w:rFonts w:ascii="Arial" w:cs="Arial" w:eastAsia="Arial" w:hAnsi="Arial"/>
                <w:color w:val="333333"/>
                <w:sz w:val="20"/>
                <w:szCs w:val="20"/>
              </w:rPr>
              <w:t xml:space="preserve">Generar engagement y datos sobre las necesidades de la audiencia</w:t>
            </w:r>
          </w:p>
        </w:tc>
        <w:tc>
          <w:tcPr>
            <w:tcW w:type="dxa" w:w="3400"/>
            <w:tcBorders>
              <w:top w:val="single" w:color="D0D9E3" w:sz="1"/>
              <w:left w:val="single" w:color="D0D9E3" w:sz="1"/>
              <w:bottom w:val="single" w:color="D0D9E3" w:sz="1"/>
              <w:right w:val="single" w:color="D0D9E3" w:sz="1"/>
            </w:tcBorders>
            <w:shd w:fill="F5F7FA" w:val="clear"/>
            <w:tcMar>
              <w:top w:type="dxa" w:w="100"/>
              <w:left w:type="dxa" w:w="160"/>
              <w:bottom w:type="dxa" w:w="100"/>
              <w:right w:type="dxa" w:w="160"/>
            </w:tcMar>
          </w:tcPr>
          <w:p>
            <w:r>
              <w:rPr>
                <w:rFonts w:ascii="Arial" w:cs="Arial" w:eastAsia="Arial" w:hAnsi="Arial"/>
                <w:color w:val="555555"/>
                <w:sz w:val="20"/>
                <w:szCs w:val="20"/>
              </w:rPr>
              <w:t xml:space="preserve">2 veces por mes</w:t>
            </w:r>
          </w:p>
        </w:tc>
      </w:tr>
      <w:tr>
        <w:tc>
          <w:tcPr>
            <w:tcW w:type="dxa" w:w="2200"/>
            <w:tcBorders>
              <w:top w:val="single" w:color="D0D9E3" w:sz="1"/>
              <w:left w:val="single" w:color="D0D9E3" w:sz="1"/>
              <w:bottom w:val="single" w:color="D0D9E3" w:sz="1"/>
              <w:right w:val="single" w:color="D0D9E3" w:sz="1"/>
            </w:tcBorders>
            <w:shd w:fill="FFFFFF" w:val="clear"/>
            <w:tcMar>
              <w:top w:type="dxa" w:w="100"/>
              <w:left w:type="dxa" w:w="160"/>
              <w:bottom w:type="dxa" w:w="100"/>
              <w:right w:type="dxa" w:w="160"/>
            </w:tcMar>
          </w:tcPr>
          <w:p>
            <w:r>
              <w:rPr>
                <w:rFonts w:ascii="Arial" w:cs="Arial" w:eastAsia="Arial" w:hAnsi="Arial"/>
                <w:b/>
                <w:bCs/>
                <w:color w:val="0E7490"/>
                <w:sz w:val="20"/>
                <w:szCs w:val="20"/>
              </w:rPr>
              <w:t xml:space="preserve">Entrevistas en video</w:t>
            </w:r>
          </w:p>
        </w:tc>
        <w:tc>
          <w:tcPr>
            <w:tcW w:type="dxa" w:w="3760"/>
            <w:tcBorders>
              <w:top w:val="single" w:color="D0D9E3" w:sz="1"/>
              <w:left w:val="single" w:color="D0D9E3" w:sz="1"/>
              <w:bottom w:val="single" w:color="D0D9E3" w:sz="1"/>
              <w:right w:val="single" w:color="D0D9E3"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Credibilidad por asociacion con otros lideres; alcance nuevo</w:t>
            </w:r>
          </w:p>
        </w:tc>
        <w:tc>
          <w:tcPr>
            <w:tcW w:type="dxa" w:w="3400"/>
            <w:tcBorders>
              <w:top w:val="single" w:color="D0D9E3" w:sz="1"/>
              <w:left w:val="single" w:color="D0D9E3" w:sz="1"/>
              <w:bottom w:val="single" w:color="D0D9E3" w:sz="1"/>
              <w:right w:val="single" w:color="D0D9E3"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1 vez al mes</w:t>
            </w:r>
          </w:p>
        </w:tc>
      </w:tr>
      <w:tr>
        <w:tc>
          <w:tcPr>
            <w:tcW w:type="dxa" w:w="2200"/>
            <w:tcBorders>
              <w:top w:val="single" w:color="D0D9E3" w:sz="1"/>
              <w:left w:val="single" w:color="D0D9E3" w:sz="1"/>
              <w:bottom w:val="single" w:color="D0D9E3" w:sz="1"/>
              <w:right w:val="single" w:color="D0D9E3" w:sz="1"/>
            </w:tcBorders>
            <w:shd w:fill="F5F7FA" w:val="clear"/>
            <w:tcMar>
              <w:top w:type="dxa" w:w="100"/>
              <w:left w:type="dxa" w:w="160"/>
              <w:bottom w:type="dxa" w:w="100"/>
              <w:right w:type="dxa" w:w="160"/>
            </w:tcMar>
          </w:tcPr>
          <w:p>
            <w:r>
              <w:rPr>
                <w:rFonts w:ascii="Arial" w:cs="Arial" w:eastAsia="Arial" w:hAnsi="Arial"/>
                <w:b/>
                <w:bCs/>
                <w:color w:val="0E7490"/>
                <w:sz w:val="20"/>
                <w:szCs w:val="20"/>
              </w:rPr>
              <w:t xml:space="preserve">Casos de exito</w:t>
            </w:r>
          </w:p>
        </w:tc>
        <w:tc>
          <w:tcPr>
            <w:tcW w:type="dxa" w:w="3760"/>
            <w:tcBorders>
              <w:top w:val="single" w:color="D0D9E3" w:sz="1"/>
              <w:left w:val="single" w:color="D0D9E3" w:sz="1"/>
              <w:bottom w:val="single" w:color="D0D9E3" w:sz="1"/>
              <w:right w:val="single" w:color="D0D9E3" w:sz="1"/>
            </w:tcBorders>
            <w:shd w:fill="F5F7FA" w:val="clear"/>
            <w:tcMar>
              <w:top w:type="dxa" w:w="100"/>
              <w:left w:type="dxa" w:w="160"/>
              <w:bottom w:type="dxa" w:w="100"/>
              <w:right w:type="dxa" w:w="160"/>
            </w:tcMar>
          </w:tcPr>
          <w:p>
            <w:r>
              <w:rPr>
                <w:rFonts w:ascii="Arial" w:cs="Arial" w:eastAsia="Arial" w:hAnsi="Arial"/>
                <w:color w:val="333333"/>
                <w:sz w:val="20"/>
                <w:szCs w:val="20"/>
              </w:rPr>
              <w:t xml:space="preserve">Demostrar ROI de aplicar IA en RRHH con ejemplos reales</w:t>
            </w:r>
          </w:p>
        </w:tc>
        <w:tc>
          <w:tcPr>
            <w:tcW w:type="dxa" w:w="3400"/>
            <w:tcBorders>
              <w:top w:val="single" w:color="D0D9E3" w:sz="1"/>
              <w:left w:val="single" w:color="D0D9E3" w:sz="1"/>
              <w:bottom w:val="single" w:color="D0D9E3" w:sz="1"/>
              <w:right w:val="single" w:color="D0D9E3" w:sz="1"/>
            </w:tcBorders>
            <w:shd w:fill="F5F7FA" w:val="clear"/>
            <w:tcMar>
              <w:top w:type="dxa" w:w="100"/>
              <w:left w:type="dxa" w:w="160"/>
              <w:bottom w:type="dxa" w:w="100"/>
              <w:right w:type="dxa" w:w="160"/>
            </w:tcMar>
          </w:tcPr>
          <w:p>
            <w:r>
              <w:rPr>
                <w:rFonts w:ascii="Arial" w:cs="Arial" w:eastAsia="Arial" w:hAnsi="Arial"/>
                <w:color w:val="555555"/>
                <w:sz w:val="20"/>
                <w:szCs w:val="20"/>
              </w:rPr>
              <w:t xml:space="preserve">2 veces al mes</w:t>
            </w:r>
          </w:p>
        </w:tc>
      </w:tr>
    </w:tbl>
    <w:p>
      <w:pPr>
        <w:spacing w:after="0" w:before="160"/>
      </w:pPr>
      <w:r>
        <w:t xml:space="preserve"/>
      </w:r>
    </w:p>
    <w:p>
      <w:pPr>
        <w:pStyle w:val="Heading2"/>
        <w:spacing w:after="160" w:before="300"/>
      </w:pPr>
      <w:r>
        <w:rPr>
          <w:rFonts w:ascii="Arial" w:cs="Arial" w:eastAsia="Arial" w:hAnsi="Arial"/>
          <w:b/>
          <w:bCs/>
          <w:color w:val="0E7490"/>
          <w:sz w:val="26"/>
          <w:szCs w:val="26"/>
        </w:rPr>
        <w:t xml:space="preserve">5.2 Instagram y Facebook: Amplificacion Visual</w:t>
      </w:r>
    </w:p>
    <w:p>
      <w:pPr>
        <w:spacing w:after="0" w:before="80"/>
      </w:pPr>
      <w:r>
        <w:t xml:space="preserve"/>
      </w:r>
    </w:p>
    <w:p>
      <w:pPr>
        <w:spacing w:after="120" w:before="80"/>
      </w:pPr>
      <w:r>
        <w:rPr>
          <w:rFonts w:ascii="Arial" w:cs="Arial" w:eastAsia="Arial" w:hAnsi="Arial"/>
          <w:color w:val="333333"/>
          <w:sz w:val="22"/>
          <w:szCs w:val="22"/>
        </w:rPr>
        <w:t xml:space="preserve">Instagram y Facebook cumplen una funcion diferente a LinkedIn. No son canales de profundidad, son canales de descubrimiento y familiaridad. La estrategia para estos canales debe ser:</w:t>
      </w:r>
    </w:p>
    <w:p>
      <w:pPr>
        <w:spacing w:after="0" w:before="80"/>
      </w:pPr>
      <w:r>
        <w:t xml:space="preserve"/>
      </w:r>
    </w:p>
    <w:p>
      <w:pPr>
        <w:pStyle w:val="ListParagraph"/>
        <w:numPr>
          <w:ilvl w:val="0"/>
          <w:numId w:val="2"/>
        </w:numPr>
        <w:spacing w:after="80" w:before="80"/>
      </w:pPr>
      <w:r>
        <w:rPr>
          <w:rFonts w:ascii="Arial" w:cs="Arial" w:eastAsia="Arial" w:hAnsi="Arial"/>
          <w:sz w:val="22"/>
          <w:szCs w:val="22"/>
        </w:rPr>
        <w:t xml:space="preserve">Reproponer el contenido del newsletter en formato visual: tarjetas con las 3 ideas clave de la semana.</w:t>
      </w:r>
    </w:p>
    <w:p>
      <w:pPr>
        <w:pStyle w:val="ListParagraph"/>
        <w:numPr>
          <w:ilvl w:val="0"/>
          <w:numId w:val="2"/>
        </w:numPr>
        <w:spacing w:after="80" w:before="80"/>
      </w:pPr>
      <w:r>
        <w:rPr>
          <w:rFonts w:ascii="Arial" w:cs="Arial" w:eastAsia="Arial" w:hAnsi="Arial"/>
          <w:sz w:val="22"/>
          <w:szCs w:val="22"/>
        </w:rPr>
        <w:t xml:space="preserve">Clips de 60 a 90 segundos del podcast con el momento mas impactante de cada episodio.</w:t>
      </w:r>
    </w:p>
    <w:p>
      <w:pPr>
        <w:pStyle w:val="ListParagraph"/>
        <w:numPr>
          <w:ilvl w:val="0"/>
          <w:numId w:val="2"/>
        </w:numPr>
        <w:spacing w:after="80" w:before="80"/>
      </w:pPr>
      <w:r>
        <w:rPr>
          <w:rFonts w:ascii="Arial" w:cs="Arial" w:eastAsia="Arial" w:hAnsi="Arial"/>
          <w:sz w:val="22"/>
          <w:szCs w:val="22"/>
        </w:rPr>
        <w:t xml:space="preserve">Preguntas que invitan a la reflexion: publicar la pregunta del newsletter como post en Instagram para generar comentarios.</w:t>
      </w:r>
    </w:p>
    <w:p>
      <w:pPr>
        <w:pStyle w:val="ListParagraph"/>
        <w:numPr>
          <w:ilvl w:val="0"/>
          <w:numId w:val="2"/>
        </w:numPr>
        <w:spacing w:after="80" w:before="80"/>
      </w:pPr>
      <w:r>
        <w:rPr>
          <w:rFonts w:ascii="Arial" w:cs="Arial" w:eastAsia="Arial" w:hAnsi="Arial"/>
          <w:sz w:val="22"/>
          <w:szCs w:val="22"/>
        </w:rPr>
        <w:t xml:space="preserve">Stories de detras de camara mostrando el proceso de investigacion y produccion de PeopleBot.</w:t>
      </w:r>
    </w:p>
    <w:p>
      <w:pPr>
        <w:spacing w:after="0" w:before="120"/>
      </w:pPr>
      <w:r>
        <w:t xml:space="preserve"/>
      </w:r>
    </w:p>
    <w:p>
      <w:pPr>
        <w:pStyle w:val="Heading2"/>
        <w:spacing w:after="160" w:before="300"/>
      </w:pPr>
      <w:r>
        <w:rPr>
          <w:rFonts w:ascii="Arial" w:cs="Arial" w:eastAsia="Arial" w:hAnsi="Arial"/>
          <w:b/>
          <w:bCs/>
          <w:color w:val="0E7490"/>
          <w:sz w:val="26"/>
          <w:szCs w:val="26"/>
        </w:rPr>
        <w:t xml:space="preserve">5.3 El Podcast: Construccion de Autoridad Profunda</w:t>
      </w:r>
    </w:p>
    <w:p>
      <w:pPr>
        <w:spacing w:after="0" w:before="80"/>
      </w:pPr>
      <w:r>
        <w:t xml:space="preserve"/>
      </w:r>
    </w:p>
    <w:p>
      <w:pPr>
        <w:spacing w:after="120" w:before="80"/>
      </w:pPr>
      <w:r>
        <w:rPr>
          <w:rFonts w:ascii="Arial" w:cs="Arial" w:eastAsia="Arial" w:hAnsi="Arial"/>
          <w:color w:val="333333"/>
          <w:sz w:val="22"/>
          <w:szCs w:val="22"/>
        </w:rPr>
        <w:t xml:space="preserve">Con 17 semanas de episodios en 2025, el podcast ya tiene masa critica. El siguiente paso no es producir mas, sino distribuir mejor. Cada episodio debe tener una estrategia de distribucion de 5 piezas: el episodio completo, un clip de Instagram, un post de LinkedIn, una tarjeta de cita y una seccion del newsletter. Un episodio, cinco puntos de contacto.</w:t>
      </w:r>
    </w:p>
    <w:p>
      <w:pPr>
        <w:spacing w:after="0" w:before="80"/>
      </w:pPr>
      <w:r>
        <w:t xml:space="preserve"/>
      </w:r>
    </w:p>
    <w:p>
      <w:pPr>
        <w:spacing w:after="120" w:before="80"/>
      </w:pPr>
      <w:r>
        <w:rPr>
          <w:rFonts w:ascii="Arial" w:cs="Arial" w:eastAsia="Arial" w:hAnsi="Arial"/>
          <w:color w:val="333333"/>
          <w:sz w:val="22"/>
          <w:szCs w:val="22"/>
        </w:rPr>
        <w:t xml:space="preserve">Adicionalmente, considera invitar a lideres de RRHH de empresas medianas y grandes en LATAM como invitados. Cada entrevistado trae su audiencia. Eso es distribucion sin costo.</w:t>
      </w:r>
    </w:p>
    <w:p>
      <w:pPr>
        <w:spacing w:after="0" w:before="120"/>
      </w:pPr>
      <w:r>
        <w:t xml:space="preserve"/>
      </w:r>
    </w:p>
    <w:p>
      <w:pPr>
        <w:pStyle w:val="Heading2"/>
        <w:spacing w:after="160" w:before="300"/>
      </w:pPr>
      <w:r>
        <w:rPr>
          <w:rFonts w:ascii="Arial" w:cs="Arial" w:eastAsia="Arial" w:hAnsi="Arial"/>
          <w:b/>
          <w:bCs/>
          <w:color w:val="0E7490"/>
          <w:sz w:val="26"/>
          <w:szCs w:val="26"/>
        </w:rPr>
        <w:t xml:space="preserve">5.4 Estrategia SEO y Descubrimiento Organico</w:t>
      </w:r>
    </w:p>
    <w:p>
      <w:pPr>
        <w:spacing w:after="0" w:before="80"/>
      </w:pPr>
      <w:r>
        <w:t xml:space="preserve"/>
      </w:r>
    </w:p>
    <w:p>
      <w:pPr>
        <w:spacing w:after="120" w:before="80"/>
      </w:pPr>
      <w:r>
        <w:rPr>
          <w:rFonts w:ascii="Arial" w:cs="Arial" w:eastAsia="Arial" w:hAnsi="Arial"/>
          <w:color w:val="333333"/>
          <w:sz w:val="22"/>
          <w:szCs w:val="22"/>
        </w:rPr>
        <w:t xml:space="preserve">LinkedIn SEO, YouTube (con episodios del podcast en video) y Google son canales subutilizados. Los profesionales de RRHH buscan en Google terminos como "herramientas de IA para reclutamiento", "como usar ChatGPT en RRHH", "software de analisis de talento con IA". PeopleBot debe aparecer en esas busquedas. Eso requiere un blog basico o pagina de recursos con el contenido ya producido.</w:t>
      </w:r>
    </w:p>
    <w:p>
      <w:pPr>
        <w:pBdr>
          <w:bottom w:val="single" w:color="0E7490" w:sz="4" w:space="1"/>
        </w:pBdr>
        <w:spacing w:after="200" w:before="200"/>
      </w:pPr>
      <w:r>
        <w:t xml:space="preserve"/>
      </w:r>
    </w:p>
    <w:p>
      <w:pPr>
        <w:pStyle w:val="Heading1"/>
        <w:spacing w:after="200" w:before="400"/>
      </w:pPr>
      <w:r>
        <w:rPr>
          <w:rFonts w:ascii="Arial" w:cs="Arial" w:eastAsia="Arial" w:hAnsi="Arial"/>
          <w:b/>
          <w:bCs/>
          <w:color w:val="1E3A5F"/>
          <w:sz w:val="32"/>
          <w:szCs w:val="32"/>
        </w:rPr>
        <w:t xml:space="preserve">6. El Modelo de Negocio: Capturar el Valor que ya Creas</w:t>
      </w:r>
    </w:p>
    <w:p>
      <w:pPr>
        <w:spacing w:after="0" w:before="80"/>
      </w:pPr>
      <w:r>
        <w:t xml:space="preserve"/>
      </w:r>
    </w:p>
    <w:p>
      <w:pPr>
        <w:spacing w:after="120" w:before="80"/>
      </w:pPr>
      <w:r>
        <w:rPr>
          <w:rFonts w:ascii="Arial" w:cs="Arial" w:eastAsia="Arial" w:hAnsi="Arial"/>
          <w:color w:val="333333"/>
          <w:sz w:val="22"/>
          <w:szCs w:val="22"/>
        </w:rPr>
        <w:t xml:space="preserve">Thiel distingue entre crear valor y capturar valor. PeopleBot crea valor desde el primer dia. El problema es que hoy no captura ese valor de forma sistematica. Aqui va el modelo de monetizacion en tres niveles, ordenados por complejidad de implementacion:</w:t>
      </w:r>
    </w:p>
    <w:p>
      <w:pPr>
        <w:spacing w:after="0" w:before="120"/>
      </w:pPr>
      <w:r>
        <w:t xml:space="preserve"/>
      </w:r>
    </w:p>
    <w:p>
      <w:pPr>
        <w:pStyle w:val="Heading2"/>
        <w:spacing w:after="160" w:before="300"/>
      </w:pPr>
      <w:r>
        <w:rPr>
          <w:rFonts w:ascii="Arial" w:cs="Arial" w:eastAsia="Arial" w:hAnsi="Arial"/>
          <w:b/>
          <w:bCs/>
          <w:color w:val="0E7490"/>
          <w:sz w:val="26"/>
          <w:szCs w:val="26"/>
        </w:rPr>
        <w:t xml:space="preserve">Nivel 1: Activar en 3 a 6 meses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8" w:val="clear"/>
            <w:tcMar>
              <w:top w:type="dxa" w:w="200"/>
              <w:left w:type="dxa" w:w="200"/>
              <w:bottom w:type="dxa" w:w="80"/>
              <w:right w:type="dxa" w:w="200"/>
            </w:tcMar>
          </w:tcPr>
          <w:p>
            <w:r>
              <w:rPr>
                <w:rFonts w:ascii="Arial" w:cs="Arial" w:eastAsia="Arial" w:hAnsi="Arial"/>
                <w:b/>
                <w:bCs/>
                <w:color w:val="1E3A5F"/>
                <w:sz w:val="24"/>
                <w:szCs w:val="24"/>
              </w:rPr>
              <w:t xml:space="preserve">Consultoria directa y talleres corporativos</w:t>
            </w:r>
          </w:p>
        </w:tc>
      </w:tr>
      <w:tr>
        <w:tc>
          <w:tcPr>
            <w:tcW w:type="dxa" w:w="9360"/>
            <w:tcBorders>
              <w:top w:val="none" w:color="FFFFFF" w:sz="0"/>
              <w:left w:val="none" w:color="FFFFFF" w:sz="0"/>
              <w:bottom w:val="none" w:color="FFFFFF" w:sz="0"/>
              <w:right w:val="none" w:color="FFFFFF" w:sz="0"/>
            </w:tcBorders>
            <w:shd w:fill="E8F4F8" w:val="clear"/>
            <w:tcMar>
              <w:top w:type="dxa" w:w="80"/>
              <w:left w:type="dxa" w:w="200"/>
              <w:bottom w:type="dxa" w:w="200"/>
              <w:right w:type="dxa" w:w="200"/>
            </w:tcMar>
          </w:tcPr>
          <w:p>
            <w:r>
              <w:rPr>
                <w:rFonts w:ascii="Arial" w:cs="Arial" w:eastAsia="Arial" w:hAnsi="Arial"/>
                <w:color w:val="333333"/>
                <w:sz w:val="21"/>
                <w:szCs w:val="21"/>
              </w:rPr>
              <w:t xml:space="preserve">PeopleBot ya tiene la credibilidad para cobrar por tiempo y expertise. El modelo es simple: empresas que quieren que sus equipos de RRHH entiendan y usen IA contratan a Gustavo para talleres de 4 a 8 horas. Precio objetivo: $2,000 a $5,000 USD por taller para empresas medianas en LATAM.</w:t>
            </w:r>
          </w:p>
        </w:tc>
      </w:tr>
    </w:tbl>
    <w:p>
      <w:pPr>
        <w:spacing w:after="0" w:before="120"/>
      </w:pPr>
      <w:r>
        <w:t xml:space="preserve"/>
      </w:r>
    </w:p>
    <w:p>
      <w:pPr>
        <w:pStyle w:val="Heading2"/>
        <w:spacing w:after="160" w:before="300"/>
      </w:pPr>
      <w:r>
        <w:rPr>
          <w:rFonts w:ascii="Arial" w:cs="Arial" w:eastAsia="Arial" w:hAnsi="Arial"/>
          <w:b/>
          <w:bCs/>
          <w:color w:val="0E7490"/>
          <w:sz w:val="26"/>
          <w:szCs w:val="26"/>
        </w:rPr>
        <w:t xml:space="preserve">Nivel 2: Activar en 6 a 12 meses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0F2F7" w:val="clear"/>
            <w:tcMar>
              <w:top w:type="dxa" w:w="200"/>
              <w:left w:type="dxa" w:w="200"/>
              <w:bottom w:type="dxa" w:w="80"/>
              <w:right w:type="dxa" w:w="200"/>
            </w:tcMar>
          </w:tcPr>
          <w:p>
            <w:r>
              <w:rPr>
                <w:rFonts w:ascii="Arial" w:cs="Arial" w:eastAsia="Arial" w:hAnsi="Arial"/>
                <w:b/>
                <w:bCs/>
                <w:color w:val="1E3A5F"/>
                <w:sz w:val="24"/>
                <w:szCs w:val="24"/>
              </w:rPr>
              <w:t xml:space="preserve">Newsletter Premium y Comunidad de Pago</w:t>
            </w:r>
          </w:p>
        </w:tc>
      </w:tr>
      <w:tr>
        <w:tc>
          <w:tcPr>
            <w:tcW w:type="dxa" w:w="9360"/>
            <w:tcBorders>
              <w:top w:val="none" w:color="FFFFFF" w:sz="0"/>
              <w:left w:val="none" w:color="FFFFFF" w:sz="0"/>
              <w:bottom w:val="none" w:color="FFFFFF" w:sz="0"/>
              <w:right w:val="none" w:color="FFFFFF" w:sz="0"/>
            </w:tcBorders>
            <w:shd w:fill="E0F2F7" w:val="clear"/>
            <w:tcMar>
              <w:top w:type="dxa" w:w="80"/>
              <w:left w:type="dxa" w:w="200"/>
              <w:bottom w:type="dxa" w:w="200"/>
              <w:right w:type="dxa" w:w="200"/>
            </w:tcMar>
          </w:tcPr>
          <w:p>
            <w:r>
              <w:rPr>
                <w:rFonts w:ascii="Arial" w:cs="Arial" w:eastAsia="Arial" w:hAnsi="Arial"/>
                <w:color w:val="333333"/>
                <w:sz w:val="21"/>
                <w:szCs w:val="21"/>
              </w:rPr>
              <w:t xml:space="preserve">Una seccion del newsletter con analisis profundo, herramientas curadas y acceso a una comunidad privada de RRHH leaders que usan IA. Precio objetivo: $15 a $25 USD por mes por suscriptor. Con 1,000 suscriptores de pago, eso representa $15,000 a $25,000 USD mensuales recurrentes.</w:t>
            </w:r>
          </w:p>
        </w:tc>
      </w:tr>
    </w:tbl>
    <w:p>
      <w:pPr>
        <w:spacing w:after="0" w:before="120"/>
      </w:pPr>
      <w:r>
        <w:t xml:space="preserve"/>
      </w:r>
    </w:p>
    <w:p>
      <w:pPr>
        <w:pStyle w:val="Heading2"/>
        <w:spacing w:after="160" w:before="300"/>
      </w:pPr>
      <w:r>
        <w:rPr>
          <w:rFonts w:ascii="Arial" w:cs="Arial" w:eastAsia="Arial" w:hAnsi="Arial"/>
          <w:b/>
          <w:bCs/>
          <w:color w:val="0E7490"/>
          <w:sz w:val="26"/>
          <w:szCs w:val="26"/>
        </w:rPr>
        <w:t xml:space="preserve">Nivel 3: Activar en 12 a 24 meses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8" w:val="clear"/>
            <w:tcMar>
              <w:top w:type="dxa" w:w="200"/>
              <w:left w:type="dxa" w:w="200"/>
              <w:bottom w:type="dxa" w:w="80"/>
              <w:right w:type="dxa" w:w="200"/>
            </w:tcMar>
          </w:tcPr>
          <w:p>
            <w:r>
              <w:rPr>
                <w:rFonts w:ascii="Arial" w:cs="Arial" w:eastAsia="Arial" w:hAnsi="Arial"/>
                <w:b/>
                <w:bCs/>
                <w:color w:val="1E3A5F"/>
                <w:sz w:val="24"/>
                <w:szCs w:val="24"/>
              </w:rPr>
              <w:t xml:space="preserve">Programa de Certificacion PeopleBot en IA para RRHH</w:t>
            </w:r>
          </w:p>
        </w:tc>
      </w:tr>
      <w:tr>
        <w:tc>
          <w:tcPr>
            <w:tcW w:type="dxa" w:w="9360"/>
            <w:tcBorders>
              <w:top w:val="none" w:color="FFFFFF" w:sz="0"/>
              <w:left w:val="none" w:color="FFFFFF" w:sz="0"/>
              <w:bottom w:val="none" w:color="FFFFFF" w:sz="0"/>
              <w:right w:val="none" w:color="FFFFFF" w:sz="0"/>
            </w:tcBorders>
            <w:shd w:fill="E8F4F8" w:val="clear"/>
            <w:tcMar>
              <w:top w:type="dxa" w:w="80"/>
              <w:left w:type="dxa" w:w="200"/>
              <w:bottom w:type="dxa" w:w="200"/>
              <w:right w:type="dxa" w:w="200"/>
            </w:tcMar>
          </w:tcPr>
          <w:p>
            <w:r>
              <w:rPr>
                <w:rFonts w:ascii="Arial" w:cs="Arial" w:eastAsia="Arial" w:hAnsi="Arial"/>
                <w:color w:val="333333"/>
                <w:sz w:val="21"/>
                <w:szCs w:val="21"/>
              </w:rPr>
              <w:t xml:space="preserve">Un programa de formacion de 6 a 8 semanas que certifica a profesionales de RRHH en el uso estrategico de IA. Incluye modulos de reclutamiento con IA, analisis de personas, automatizacion de procesos y etica. Precio objetivo: $300 a $600 USD por participante. Un cohorte de 50 personas genera $15,000 a $30,000 USD.</w:t>
            </w:r>
          </w:p>
        </w:tc>
      </w:tr>
    </w:tbl>
    <w:p>
      <w:pPr>
        <w:spacing w:after="0" w:before="160"/>
      </w:pPr>
      <w:r>
        <w:t xml:space="preserve"/>
      </w:r>
    </w:p>
    <w:p>
      <w:pPr>
        <w:pStyle w:val="Heading2"/>
        <w:spacing w:after="160" w:before="300"/>
      </w:pPr>
      <w:r>
        <w:rPr>
          <w:rFonts w:ascii="Arial" w:cs="Arial" w:eastAsia="Arial" w:hAnsi="Arial"/>
          <w:b/>
          <w:bCs/>
          <w:color w:val="0E7490"/>
          <w:sz w:val="26"/>
          <w:szCs w:val="26"/>
        </w:rPr>
        <w:t xml:space="preserve">6.1 Proyeccion de Ingresos Conservadora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520"/>
        <w:gridCol w:w="3720"/>
      </w:tblGrid>
      <w:tr>
        <w:tc>
          <w:tcPr>
            <w:tcW w:type="dxa" w:w="3120"/>
            <w:tcBorders>
              <w:top w:val="single" w:color="D0D9E3" w:sz="1"/>
              <w:left w:val="single" w:color="D0D9E3" w:sz="1"/>
              <w:bottom w:val="single" w:color="D0D9E3" w:sz="1"/>
              <w:right w:val="single" w:color="D0D9E3" w:sz="1"/>
            </w:tcBorders>
            <w:shd w:fill="F5F7FA" w:val="clear"/>
            <w:tcMar>
              <w:top w:type="dxa" w:w="120"/>
              <w:left w:type="dxa" w:w="160"/>
              <w:bottom w:type="dxa" w:w="120"/>
              <w:right w:type="dxa" w:w="160"/>
            </w:tcMar>
          </w:tcPr>
          <w:p>
            <w:r>
              <w:rPr>
                <w:rFonts w:ascii="Arial" w:cs="Arial" w:eastAsia="Arial" w:hAnsi="Arial"/>
                <w:b/>
                <w:bCs/>
                <w:color w:val="1E3A5F"/>
                <w:sz w:val="20"/>
                <w:szCs w:val="20"/>
              </w:rPr>
              <w:t xml:space="preserve">2026 (Ano 1)</w:t>
            </w:r>
          </w:p>
        </w:tc>
        <w:tc>
          <w:tcPr>
            <w:tcW w:type="dxa" w:w="2520"/>
            <w:tcBorders>
              <w:top w:val="single" w:color="D0D9E3" w:sz="1"/>
              <w:left w:val="single" w:color="D0D9E3" w:sz="1"/>
              <w:bottom w:val="single" w:color="D0D9E3" w:sz="1"/>
              <w:right w:val="single" w:color="D0D9E3" w:sz="1"/>
            </w:tcBorders>
            <w:shd w:fill="FFFFFF" w:val="clear"/>
            <w:tcMar>
              <w:top w:type="dxa" w:w="120"/>
              <w:left w:type="dxa" w:w="160"/>
              <w:bottom w:type="dxa" w:w="120"/>
              <w:right w:type="dxa" w:w="160"/>
            </w:tcMar>
          </w:tcPr>
          <w:p>
            <w:r>
              <w:rPr>
                <w:rFonts w:ascii="Arial" w:cs="Arial" w:eastAsia="Arial" w:hAnsi="Arial"/>
                <w:b/>
                <w:bCs/>
                <w:color w:val="0E7490"/>
                <w:sz w:val="22"/>
                <w:szCs w:val="22"/>
              </w:rPr>
              <w:t xml:space="preserve">$30,000 USD</w:t>
            </w:r>
          </w:p>
        </w:tc>
        <w:tc>
          <w:tcPr>
            <w:tcW w:type="dxa" w:w="3720"/>
            <w:tcBorders>
              <w:top w:val="single" w:color="D0D9E3" w:sz="1"/>
              <w:left w:val="single" w:color="D0D9E3" w:sz="1"/>
              <w:bottom w:val="single" w:color="D0D9E3" w:sz="1"/>
              <w:right w:val="single" w:color="D0D9E3" w:sz="1"/>
            </w:tcBorders>
            <w:shd w:fill="FFFFFF" w:val="clear"/>
            <w:tcMar>
              <w:top w:type="dxa" w:w="120"/>
              <w:left w:type="dxa" w:w="160"/>
              <w:bottom w:type="dxa" w:w="120"/>
              <w:right w:type="dxa" w:w="160"/>
            </w:tcMar>
          </w:tcPr>
          <w:p>
            <w:r>
              <w:rPr>
                <w:rFonts w:ascii="Arial" w:cs="Arial" w:eastAsia="Arial" w:hAnsi="Arial"/>
                <w:color w:val="555555"/>
                <w:sz w:val="20"/>
                <w:szCs w:val="20"/>
              </w:rPr>
              <w:t xml:space="preserve">6 talleres corporativos + primeros 200 suscriptores premium</w:t>
            </w:r>
          </w:p>
        </w:tc>
      </w:tr>
      <w:tr>
        <w:tc>
          <w:tcPr>
            <w:tcW w:type="dxa" w:w="3120"/>
            <w:tcBorders>
              <w:top w:val="single" w:color="D0D9E3" w:sz="1"/>
              <w:left w:val="single" w:color="D0D9E3" w:sz="1"/>
              <w:bottom w:val="single" w:color="D0D9E3" w:sz="1"/>
              <w:right w:val="single" w:color="D0D9E3" w:sz="1"/>
            </w:tcBorders>
            <w:shd w:fill="F5F7FA" w:val="clear"/>
            <w:tcMar>
              <w:top w:type="dxa" w:w="120"/>
              <w:left w:type="dxa" w:w="160"/>
              <w:bottom w:type="dxa" w:w="120"/>
              <w:right w:type="dxa" w:w="160"/>
            </w:tcMar>
          </w:tcPr>
          <w:p>
            <w:r>
              <w:rPr>
                <w:rFonts w:ascii="Arial" w:cs="Arial" w:eastAsia="Arial" w:hAnsi="Arial"/>
                <w:b/>
                <w:bCs/>
                <w:color w:val="1E3A5F"/>
                <w:sz w:val="20"/>
                <w:szCs w:val="20"/>
              </w:rPr>
              <w:t xml:space="preserve">2027 (Ano 2)</w:t>
            </w:r>
          </w:p>
        </w:tc>
        <w:tc>
          <w:tcPr>
            <w:tcW w:type="dxa" w:w="2520"/>
            <w:tcBorders>
              <w:top w:val="single" w:color="D0D9E3" w:sz="1"/>
              <w:left w:val="single" w:color="D0D9E3" w:sz="1"/>
              <w:bottom w:val="single" w:color="D0D9E3" w:sz="1"/>
              <w:right w:val="single" w:color="D0D9E3" w:sz="1"/>
            </w:tcBorders>
            <w:shd w:fill="FFFFFF" w:val="clear"/>
            <w:tcMar>
              <w:top w:type="dxa" w:w="120"/>
              <w:left w:type="dxa" w:w="160"/>
              <w:bottom w:type="dxa" w:w="120"/>
              <w:right w:type="dxa" w:w="160"/>
            </w:tcMar>
          </w:tcPr>
          <w:p>
            <w:r>
              <w:rPr>
                <w:rFonts w:ascii="Arial" w:cs="Arial" w:eastAsia="Arial" w:hAnsi="Arial"/>
                <w:b/>
                <w:bCs/>
                <w:color w:val="0E7490"/>
                <w:sz w:val="22"/>
                <w:szCs w:val="22"/>
              </w:rPr>
              <w:t xml:space="preserve">$120,000 USD</w:t>
            </w:r>
          </w:p>
        </w:tc>
        <w:tc>
          <w:tcPr>
            <w:tcW w:type="dxa" w:w="3720"/>
            <w:tcBorders>
              <w:top w:val="single" w:color="D0D9E3" w:sz="1"/>
              <w:left w:val="single" w:color="D0D9E3" w:sz="1"/>
              <w:bottom w:val="single" w:color="D0D9E3" w:sz="1"/>
              <w:right w:val="single" w:color="D0D9E3" w:sz="1"/>
            </w:tcBorders>
            <w:shd w:fill="FFFFFF" w:val="clear"/>
            <w:tcMar>
              <w:top w:type="dxa" w:w="120"/>
              <w:left w:type="dxa" w:w="160"/>
              <w:bottom w:type="dxa" w:w="120"/>
              <w:right w:type="dxa" w:w="160"/>
            </w:tcMar>
          </w:tcPr>
          <w:p>
            <w:r>
              <w:rPr>
                <w:rFonts w:ascii="Arial" w:cs="Arial" w:eastAsia="Arial" w:hAnsi="Arial"/>
                <w:color w:val="555555"/>
                <w:sz w:val="20"/>
                <w:szCs w:val="20"/>
              </w:rPr>
              <w:t xml:space="preserve">Talleres + 800 suscriptores + 2 cohortes de certificacion</w:t>
            </w:r>
          </w:p>
        </w:tc>
      </w:tr>
      <w:tr>
        <w:tc>
          <w:tcPr>
            <w:tcW w:type="dxa" w:w="3120"/>
            <w:tcBorders>
              <w:top w:val="single" w:color="D0D9E3" w:sz="1"/>
              <w:left w:val="single" w:color="D0D9E3" w:sz="1"/>
              <w:bottom w:val="single" w:color="D0D9E3" w:sz="1"/>
              <w:right w:val="single" w:color="D0D9E3" w:sz="1"/>
            </w:tcBorders>
            <w:shd w:fill="F5F7FA" w:val="clear"/>
            <w:tcMar>
              <w:top w:type="dxa" w:w="120"/>
              <w:left w:type="dxa" w:w="160"/>
              <w:bottom w:type="dxa" w:w="120"/>
              <w:right w:type="dxa" w:w="160"/>
            </w:tcMar>
          </w:tcPr>
          <w:p>
            <w:r>
              <w:rPr>
                <w:rFonts w:ascii="Arial" w:cs="Arial" w:eastAsia="Arial" w:hAnsi="Arial"/>
                <w:b/>
                <w:bCs/>
                <w:color w:val="1E3A5F"/>
                <w:sz w:val="20"/>
                <w:szCs w:val="20"/>
              </w:rPr>
              <w:t xml:space="preserve">2028 (Ano 3)</w:t>
            </w:r>
          </w:p>
        </w:tc>
        <w:tc>
          <w:tcPr>
            <w:tcW w:type="dxa" w:w="2520"/>
            <w:tcBorders>
              <w:top w:val="single" w:color="D0D9E3" w:sz="1"/>
              <w:left w:val="single" w:color="D0D9E3" w:sz="1"/>
              <w:bottom w:val="single" w:color="D0D9E3" w:sz="1"/>
              <w:right w:val="single" w:color="D0D9E3" w:sz="1"/>
            </w:tcBorders>
            <w:shd w:fill="FFFFFF" w:val="clear"/>
            <w:tcMar>
              <w:top w:type="dxa" w:w="120"/>
              <w:left w:type="dxa" w:w="160"/>
              <w:bottom w:type="dxa" w:w="120"/>
              <w:right w:type="dxa" w:w="160"/>
            </w:tcMar>
          </w:tcPr>
          <w:p>
            <w:r>
              <w:rPr>
                <w:rFonts w:ascii="Arial" w:cs="Arial" w:eastAsia="Arial" w:hAnsi="Arial"/>
                <w:b/>
                <w:bCs/>
                <w:color w:val="0E7490"/>
                <w:sz w:val="22"/>
                <w:szCs w:val="22"/>
              </w:rPr>
              <w:t xml:space="preserve">$350,000 USD</w:t>
            </w:r>
          </w:p>
        </w:tc>
        <w:tc>
          <w:tcPr>
            <w:tcW w:type="dxa" w:w="3720"/>
            <w:tcBorders>
              <w:top w:val="single" w:color="D0D9E3" w:sz="1"/>
              <w:left w:val="single" w:color="D0D9E3" w:sz="1"/>
              <w:bottom w:val="single" w:color="D0D9E3" w:sz="1"/>
              <w:right w:val="single" w:color="D0D9E3" w:sz="1"/>
            </w:tcBorders>
            <w:shd w:fill="FFFFFF" w:val="clear"/>
            <w:tcMar>
              <w:top w:type="dxa" w:w="120"/>
              <w:left w:type="dxa" w:w="160"/>
              <w:bottom w:type="dxa" w:w="120"/>
              <w:right w:type="dxa" w:w="160"/>
            </w:tcMar>
          </w:tcPr>
          <w:p>
            <w:r>
              <w:rPr>
                <w:rFonts w:ascii="Arial" w:cs="Arial" w:eastAsia="Arial" w:hAnsi="Arial"/>
                <w:color w:val="555555"/>
                <w:sz w:val="20"/>
                <w:szCs w:val="20"/>
              </w:rPr>
              <w:t xml:space="preserve">Escala completa: talleres, premium, certificacion y patrocinios</w:t>
            </w:r>
          </w:p>
        </w:tc>
      </w:tr>
    </w:tbl>
    <w:p>
      <w:pPr>
        <w:pBdr>
          <w:bottom w:val="single" w:color="0E7490" w:sz="4" w:space="1"/>
        </w:pBdr>
        <w:spacing w:after="200" w:before="200"/>
      </w:pPr>
      <w:r>
        <w:t xml:space="preserve"/>
      </w:r>
    </w:p>
    <w:p>
      <w:pPr>
        <w:pStyle w:val="Heading1"/>
        <w:spacing w:after="200" w:before="400"/>
      </w:pPr>
      <w:r>
        <w:rPr>
          <w:rFonts w:ascii="Arial" w:cs="Arial" w:eastAsia="Arial" w:hAnsi="Arial"/>
          <w:b/>
          <w:bCs/>
          <w:color w:val="1E3A5F"/>
          <w:sz w:val="32"/>
          <w:szCs w:val="32"/>
        </w:rPr>
        <w:t xml:space="preserve">7. Plan de Accion: Los Proximos 90 Dias</w:t>
      </w:r>
    </w:p>
    <w:p>
      <w:pPr>
        <w:spacing w:after="0" w:before="80"/>
      </w:pPr>
      <w:r>
        <w:t xml:space="preserve"/>
      </w:r>
    </w:p>
    <w:p>
      <w:pPr>
        <w:spacing w:after="120" w:before="80"/>
      </w:pPr>
      <w:r>
        <w:rPr>
          <w:rFonts w:ascii="Arial" w:cs="Arial" w:eastAsia="Arial" w:hAnsi="Arial"/>
          <w:color w:val="333333"/>
          <w:sz w:val="22"/>
          <w:szCs w:val="22"/>
        </w:rPr>
        <w:t xml:space="preserve">Thiel tiene una regla: si tu plan a 10 anos no parece estar conectado a lo que haces esta semana, no es un plan real. Aqui va el plan de accion para los proximos 90 dias, ordenado por impacto:</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1800"/>
        <w:gridCol w:w="1200"/>
      </w:tblGrid>
      <w:tr>
        <w:tc>
          <w:tcPr>
            <w:tcW w:type="dxa" w:w="1800"/>
            <w:tcBorders>
              <w:top w:val="single" w:color="D0D9E3" w:sz="1"/>
              <w:left w:val="single" w:color="D0D9E3" w:sz="1"/>
              <w:bottom w:val="single" w:color="D0D9E3" w:sz="1"/>
              <w:right w:val="single" w:color="D0D9E3" w:sz="1"/>
            </w:tcBorders>
            <w:shd w:fill="1E3A5F" w:val="clear"/>
            <w:tcMar>
              <w:top w:type="dxa" w:w="120"/>
              <w:left w:type="dxa" w:w="160"/>
              <w:bottom w:type="dxa" w:w="120"/>
              <w:right w:type="dxa" w:w="160"/>
            </w:tcMar>
          </w:tcPr>
          <w:p>
            <w:r>
              <w:rPr>
                <w:rFonts w:ascii="Arial" w:cs="Arial" w:eastAsia="Arial" w:hAnsi="Arial"/>
                <w:b/>
                <w:bCs/>
                <w:color w:val="FFFFFF"/>
                <w:sz w:val="20"/>
                <w:szCs w:val="20"/>
              </w:rPr>
              <w:t xml:space="preserve">Semanas</w:t>
            </w:r>
          </w:p>
        </w:tc>
        <w:tc>
          <w:tcPr>
            <w:tcW w:type="dxa" w:w="4560"/>
            <w:tcBorders>
              <w:top w:val="single" w:color="D0D9E3" w:sz="1"/>
              <w:left w:val="single" w:color="D0D9E3" w:sz="1"/>
              <w:bottom w:val="single" w:color="D0D9E3" w:sz="1"/>
              <w:right w:val="single" w:color="D0D9E3" w:sz="1"/>
            </w:tcBorders>
            <w:shd w:fill="1E3A5F" w:val="clear"/>
            <w:tcMar>
              <w:top w:type="dxa" w:w="120"/>
              <w:left w:type="dxa" w:w="160"/>
              <w:bottom w:type="dxa" w:w="120"/>
              <w:right w:type="dxa" w:w="160"/>
            </w:tcMar>
          </w:tcPr>
          <w:p>
            <w:r>
              <w:rPr>
                <w:rFonts w:ascii="Arial" w:cs="Arial" w:eastAsia="Arial" w:hAnsi="Arial"/>
                <w:b/>
                <w:bCs/>
                <w:color w:val="FFFFFF"/>
                <w:sz w:val="20"/>
                <w:szCs w:val="20"/>
              </w:rPr>
              <w:t xml:space="preserve">Accion</w:t>
            </w:r>
          </w:p>
        </w:tc>
        <w:tc>
          <w:tcPr>
            <w:tcW w:type="dxa" w:w="1800"/>
            <w:tcBorders>
              <w:top w:val="single" w:color="D0D9E3" w:sz="1"/>
              <w:left w:val="single" w:color="D0D9E3" w:sz="1"/>
              <w:bottom w:val="single" w:color="D0D9E3" w:sz="1"/>
              <w:right w:val="single" w:color="D0D9E3" w:sz="1"/>
            </w:tcBorders>
            <w:shd w:fill="1E3A5F" w:val="clear"/>
            <w:tcMar>
              <w:top w:type="dxa" w:w="120"/>
              <w:left w:type="dxa" w:w="160"/>
              <w:bottom w:type="dxa" w:w="120"/>
              <w:right w:type="dxa" w:w="160"/>
            </w:tcMar>
          </w:tcPr>
          <w:p>
            <w:r>
              <w:rPr>
                <w:rFonts w:ascii="Arial" w:cs="Arial" w:eastAsia="Arial" w:hAnsi="Arial"/>
                <w:b/>
                <w:bCs/>
                <w:color w:val="FFFFFF"/>
                <w:sz w:val="20"/>
                <w:szCs w:val="20"/>
              </w:rPr>
              <w:t xml:space="preserve">Resultado</w:t>
            </w:r>
          </w:p>
        </w:tc>
        <w:tc>
          <w:tcPr>
            <w:tcW w:type="dxa" w:w="1200"/>
            <w:tcBorders>
              <w:top w:val="single" w:color="D0D9E3" w:sz="1"/>
              <w:left w:val="single" w:color="D0D9E3" w:sz="1"/>
              <w:bottom w:val="single" w:color="D0D9E3" w:sz="1"/>
              <w:right w:val="single" w:color="D0D9E3" w:sz="1"/>
            </w:tcBorders>
            <w:shd w:fill="1E3A5F" w:val="clear"/>
            <w:tcMar>
              <w:top w:type="dxa" w:w="120"/>
              <w:left w:type="dxa" w:w="160"/>
              <w:bottom w:type="dxa" w:w="120"/>
              <w:right w:type="dxa" w:w="160"/>
            </w:tcMar>
          </w:tcPr>
          <w:p>
            <w:r>
              <w:rPr>
                <w:rFonts w:ascii="Arial" w:cs="Arial" w:eastAsia="Arial" w:hAnsi="Arial"/>
                <w:b/>
                <w:bCs/>
                <w:color w:val="FFFFFF"/>
                <w:sz w:val="20"/>
                <w:szCs w:val="20"/>
              </w:rPr>
              <w:t xml:space="preserve">Prioridad</w:t>
            </w:r>
          </w:p>
        </w:tc>
      </w:tr>
      <w:tr>
        <w:tc>
          <w:tcPr>
            <w:tcW w:type="dxa" w:w="1800"/>
            <w:tcBorders>
              <w:top w:val="single" w:color="D0D9E3" w:sz="1"/>
              <w:left w:val="single" w:color="D0D9E3" w:sz="1"/>
              <w:bottom w:val="single" w:color="D0D9E3" w:sz="1"/>
              <w:right w:val="single" w:color="D0D9E3" w:sz="1"/>
            </w:tcBorders>
            <w:shd w:fill="FFFFFF" w:val="clear"/>
            <w:tcMar>
              <w:top w:type="dxa" w:w="100"/>
              <w:left w:type="dxa" w:w="160"/>
              <w:bottom w:type="dxa" w:w="100"/>
              <w:right w:type="dxa" w:w="160"/>
            </w:tcMar>
          </w:tcPr>
          <w:p>
            <w:r>
              <w:rPr>
                <w:rFonts w:ascii="Arial" w:cs="Arial" w:eastAsia="Arial" w:hAnsi="Arial"/>
                <w:b/>
                <w:bCs/>
                <w:color w:val="0E7490"/>
                <w:sz w:val="20"/>
                <w:szCs w:val="20"/>
              </w:rPr>
              <w:t xml:space="preserve">1-2</w:t>
            </w:r>
          </w:p>
        </w:tc>
        <w:tc>
          <w:tcPr>
            <w:tcW w:type="dxa" w:w="4560"/>
            <w:tcBorders>
              <w:top w:val="single" w:color="D0D9E3" w:sz="1"/>
              <w:left w:val="single" w:color="D0D9E3" w:sz="1"/>
              <w:bottom w:val="single" w:color="D0D9E3" w:sz="1"/>
              <w:right w:val="single" w:color="D0D9E3"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Definir y documentar el ICP (perfil ideal de cliente corporativo) para talleres</w:t>
            </w:r>
          </w:p>
        </w:tc>
        <w:tc>
          <w:tcPr>
            <w:tcW w:type="dxa" w:w="1800"/>
            <w:tcBorders>
              <w:top w:val="single" w:color="D0D9E3" w:sz="1"/>
              <w:left w:val="single" w:color="D0D9E3" w:sz="1"/>
              <w:bottom w:val="single" w:color="D0D9E3" w:sz="1"/>
              <w:right w:val="single" w:color="D0D9E3"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Claridad de venta</w:t>
            </w:r>
          </w:p>
        </w:tc>
        <w:tc>
          <w:tcPr>
            <w:tcW w:type="dxa" w:w="1200"/>
            <w:tcBorders>
              <w:top w:val="single" w:color="D0D9E3" w:sz="1"/>
              <w:left w:val="single" w:color="D0D9E3" w:sz="1"/>
              <w:bottom w:val="single" w:color="D0D9E3" w:sz="1"/>
              <w:right w:val="single" w:color="D0D9E3" w:sz="1"/>
            </w:tcBorders>
            <w:shd w:fill="FFFFFF" w:val="clear"/>
            <w:tcMar>
              <w:top w:type="dxa" w:w="100"/>
              <w:left w:type="dxa" w:w="160"/>
              <w:bottom w:type="dxa" w:w="100"/>
              <w:right w:type="dxa" w:w="160"/>
            </w:tcMar>
          </w:tcPr>
          <w:p>
            <w:r>
              <w:rPr>
                <w:rFonts w:ascii="Arial" w:cs="Arial" w:eastAsia="Arial" w:hAnsi="Arial"/>
                <w:b/>
                <w:bCs/>
                <w:color w:val="1E3A5F"/>
                <w:sz w:val="20"/>
                <w:szCs w:val="20"/>
              </w:rPr>
              <w:t xml:space="preserve">Alta</w:t>
            </w:r>
          </w:p>
        </w:tc>
      </w:tr>
      <w:tr>
        <w:tc>
          <w:tcPr>
            <w:tcW w:type="dxa" w:w="1800"/>
            <w:tcBorders>
              <w:top w:val="single" w:color="D0D9E3" w:sz="1"/>
              <w:left w:val="single" w:color="D0D9E3" w:sz="1"/>
              <w:bottom w:val="single" w:color="D0D9E3" w:sz="1"/>
              <w:right w:val="single" w:color="D0D9E3" w:sz="1"/>
            </w:tcBorders>
            <w:shd w:fill="F5F7FA" w:val="clear"/>
            <w:tcMar>
              <w:top w:type="dxa" w:w="100"/>
              <w:left w:type="dxa" w:w="160"/>
              <w:bottom w:type="dxa" w:w="100"/>
              <w:right w:type="dxa" w:w="160"/>
            </w:tcMar>
          </w:tcPr>
          <w:p>
            <w:r>
              <w:rPr>
                <w:rFonts w:ascii="Arial" w:cs="Arial" w:eastAsia="Arial" w:hAnsi="Arial"/>
                <w:b/>
                <w:bCs/>
                <w:color w:val="0E7490"/>
                <w:sz w:val="20"/>
                <w:szCs w:val="20"/>
              </w:rPr>
              <w:t xml:space="preserve">1-2</w:t>
            </w:r>
          </w:p>
        </w:tc>
        <w:tc>
          <w:tcPr>
            <w:tcW w:type="dxa" w:w="4560"/>
            <w:tcBorders>
              <w:top w:val="single" w:color="D0D9E3" w:sz="1"/>
              <w:left w:val="single" w:color="D0D9E3" w:sz="1"/>
              <w:bottom w:val="single" w:color="D0D9E3" w:sz="1"/>
              <w:right w:val="single" w:color="D0D9E3" w:sz="1"/>
            </w:tcBorders>
            <w:shd w:fill="F5F7FA" w:val="clear"/>
            <w:tcMar>
              <w:top w:type="dxa" w:w="100"/>
              <w:left w:type="dxa" w:w="160"/>
              <w:bottom w:type="dxa" w:w="100"/>
              <w:right w:type="dxa" w:w="160"/>
            </w:tcMar>
          </w:tcPr>
          <w:p>
            <w:r>
              <w:rPr>
                <w:rFonts w:ascii="Arial" w:cs="Arial" w:eastAsia="Arial" w:hAnsi="Arial"/>
                <w:color w:val="333333"/>
                <w:sz w:val="20"/>
                <w:szCs w:val="20"/>
              </w:rPr>
              <w:t xml:space="preserve">Crear landing page simple de PeopleBot con oferta de taller corporativo y formulario de contacto</w:t>
            </w:r>
          </w:p>
        </w:tc>
        <w:tc>
          <w:tcPr>
            <w:tcW w:type="dxa" w:w="1800"/>
            <w:tcBorders>
              <w:top w:val="single" w:color="D0D9E3" w:sz="1"/>
              <w:left w:val="single" w:color="D0D9E3" w:sz="1"/>
              <w:bottom w:val="single" w:color="D0D9E3" w:sz="1"/>
              <w:right w:val="single" w:color="D0D9E3" w:sz="1"/>
            </w:tcBorders>
            <w:shd w:fill="F5F7FA" w:val="clear"/>
            <w:tcMar>
              <w:top w:type="dxa" w:w="100"/>
              <w:left w:type="dxa" w:w="160"/>
              <w:bottom w:type="dxa" w:w="100"/>
              <w:right w:type="dxa" w:w="160"/>
            </w:tcMar>
          </w:tcPr>
          <w:p>
            <w:r>
              <w:rPr>
                <w:rFonts w:ascii="Arial" w:cs="Arial" w:eastAsia="Arial" w:hAnsi="Arial"/>
                <w:color w:val="555555"/>
                <w:sz w:val="20"/>
                <w:szCs w:val="20"/>
              </w:rPr>
              <w:t xml:space="preserve">Canal de conversion</w:t>
            </w:r>
          </w:p>
        </w:tc>
        <w:tc>
          <w:tcPr>
            <w:tcW w:type="dxa" w:w="1200"/>
            <w:tcBorders>
              <w:top w:val="single" w:color="D0D9E3" w:sz="1"/>
              <w:left w:val="single" w:color="D0D9E3" w:sz="1"/>
              <w:bottom w:val="single" w:color="D0D9E3" w:sz="1"/>
              <w:right w:val="single" w:color="D0D9E3" w:sz="1"/>
            </w:tcBorders>
            <w:shd w:fill="F5F7FA" w:val="clear"/>
            <w:tcMar>
              <w:top w:type="dxa" w:w="100"/>
              <w:left w:type="dxa" w:w="160"/>
              <w:bottom w:type="dxa" w:w="100"/>
              <w:right w:type="dxa" w:w="160"/>
            </w:tcMar>
          </w:tcPr>
          <w:p>
            <w:r>
              <w:rPr>
                <w:rFonts w:ascii="Arial" w:cs="Arial" w:eastAsia="Arial" w:hAnsi="Arial"/>
                <w:b/>
                <w:bCs/>
                <w:color w:val="1E3A5F"/>
                <w:sz w:val="20"/>
                <w:szCs w:val="20"/>
              </w:rPr>
              <w:t xml:space="preserve">Alta</w:t>
            </w:r>
          </w:p>
        </w:tc>
      </w:tr>
      <w:tr>
        <w:tc>
          <w:tcPr>
            <w:tcW w:type="dxa" w:w="1800"/>
            <w:tcBorders>
              <w:top w:val="single" w:color="D0D9E3" w:sz="1"/>
              <w:left w:val="single" w:color="D0D9E3" w:sz="1"/>
              <w:bottom w:val="single" w:color="D0D9E3" w:sz="1"/>
              <w:right w:val="single" w:color="D0D9E3" w:sz="1"/>
            </w:tcBorders>
            <w:shd w:fill="FFFFFF" w:val="clear"/>
            <w:tcMar>
              <w:top w:type="dxa" w:w="100"/>
              <w:left w:type="dxa" w:w="160"/>
              <w:bottom w:type="dxa" w:w="100"/>
              <w:right w:type="dxa" w:w="160"/>
            </w:tcMar>
          </w:tcPr>
          <w:p>
            <w:r>
              <w:rPr>
                <w:rFonts w:ascii="Arial" w:cs="Arial" w:eastAsia="Arial" w:hAnsi="Arial"/>
                <w:b/>
                <w:bCs/>
                <w:color w:val="0E7490"/>
                <w:sz w:val="20"/>
                <w:szCs w:val="20"/>
              </w:rPr>
              <w:t xml:space="preserve">3-4</w:t>
            </w:r>
          </w:p>
        </w:tc>
        <w:tc>
          <w:tcPr>
            <w:tcW w:type="dxa" w:w="4560"/>
            <w:tcBorders>
              <w:top w:val="single" w:color="D0D9E3" w:sz="1"/>
              <w:left w:val="single" w:color="D0D9E3" w:sz="1"/>
              <w:bottom w:val="single" w:color="D0D9E3" w:sz="1"/>
              <w:right w:val="single" w:color="D0D9E3"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Contactar 20 directores de RRHH de empresas medianas (500+ empleados) via LinkedIn con propuesta de taller</w:t>
            </w:r>
          </w:p>
        </w:tc>
        <w:tc>
          <w:tcPr>
            <w:tcW w:type="dxa" w:w="1800"/>
            <w:tcBorders>
              <w:top w:val="single" w:color="D0D9E3" w:sz="1"/>
              <w:left w:val="single" w:color="D0D9E3" w:sz="1"/>
              <w:bottom w:val="single" w:color="D0D9E3" w:sz="1"/>
              <w:right w:val="single" w:color="D0D9E3"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Pipeline de ventas</w:t>
            </w:r>
          </w:p>
        </w:tc>
        <w:tc>
          <w:tcPr>
            <w:tcW w:type="dxa" w:w="1200"/>
            <w:tcBorders>
              <w:top w:val="single" w:color="D0D9E3" w:sz="1"/>
              <w:left w:val="single" w:color="D0D9E3" w:sz="1"/>
              <w:bottom w:val="single" w:color="D0D9E3" w:sz="1"/>
              <w:right w:val="single" w:color="D0D9E3" w:sz="1"/>
            </w:tcBorders>
            <w:shd w:fill="FFFFFF" w:val="clear"/>
            <w:tcMar>
              <w:top w:type="dxa" w:w="100"/>
              <w:left w:type="dxa" w:w="160"/>
              <w:bottom w:type="dxa" w:w="100"/>
              <w:right w:type="dxa" w:w="160"/>
            </w:tcMar>
          </w:tcPr>
          <w:p>
            <w:r>
              <w:rPr>
                <w:rFonts w:ascii="Arial" w:cs="Arial" w:eastAsia="Arial" w:hAnsi="Arial"/>
                <w:b/>
                <w:bCs/>
                <w:color w:val="1E3A5F"/>
                <w:sz w:val="20"/>
                <w:szCs w:val="20"/>
              </w:rPr>
              <w:t xml:space="preserve">Alta</w:t>
            </w:r>
          </w:p>
        </w:tc>
      </w:tr>
      <w:tr>
        <w:tc>
          <w:tcPr>
            <w:tcW w:type="dxa" w:w="1800"/>
            <w:tcBorders>
              <w:top w:val="single" w:color="D0D9E3" w:sz="1"/>
              <w:left w:val="single" w:color="D0D9E3" w:sz="1"/>
              <w:bottom w:val="single" w:color="D0D9E3" w:sz="1"/>
              <w:right w:val="single" w:color="D0D9E3" w:sz="1"/>
            </w:tcBorders>
            <w:shd w:fill="F5F7FA" w:val="clear"/>
            <w:tcMar>
              <w:top w:type="dxa" w:w="100"/>
              <w:left w:type="dxa" w:w="160"/>
              <w:bottom w:type="dxa" w:w="100"/>
              <w:right w:type="dxa" w:w="160"/>
            </w:tcMar>
          </w:tcPr>
          <w:p>
            <w:r>
              <w:rPr>
                <w:rFonts w:ascii="Arial" w:cs="Arial" w:eastAsia="Arial" w:hAnsi="Arial"/>
                <w:b/>
                <w:bCs/>
                <w:color w:val="0E7490"/>
                <w:sz w:val="20"/>
                <w:szCs w:val="20"/>
              </w:rPr>
              <w:t xml:space="preserve">3-4</w:t>
            </w:r>
          </w:p>
        </w:tc>
        <w:tc>
          <w:tcPr>
            <w:tcW w:type="dxa" w:w="4560"/>
            <w:tcBorders>
              <w:top w:val="single" w:color="D0D9E3" w:sz="1"/>
              <w:left w:val="single" w:color="D0D9E3" w:sz="1"/>
              <w:bottom w:val="single" w:color="D0D9E3" w:sz="1"/>
              <w:right w:val="single" w:color="D0D9E3" w:sz="1"/>
            </w:tcBorders>
            <w:shd w:fill="F5F7FA" w:val="clear"/>
            <w:tcMar>
              <w:top w:type="dxa" w:w="100"/>
              <w:left w:type="dxa" w:w="160"/>
              <w:bottom w:type="dxa" w:w="100"/>
              <w:right w:type="dxa" w:w="160"/>
            </w:tcMar>
          </w:tcPr>
          <w:p>
            <w:r>
              <w:rPr>
                <w:rFonts w:ascii="Arial" w:cs="Arial" w:eastAsia="Arial" w:hAnsi="Arial"/>
                <w:color w:val="333333"/>
                <w:sz w:val="20"/>
                <w:szCs w:val="20"/>
              </w:rPr>
              <w:t xml:space="preserve">Lanzar encuesta en newsletter sobre el mayor reto de IA que enfrenta la audiencia</w:t>
            </w:r>
          </w:p>
        </w:tc>
        <w:tc>
          <w:tcPr>
            <w:tcW w:type="dxa" w:w="1800"/>
            <w:tcBorders>
              <w:top w:val="single" w:color="D0D9E3" w:sz="1"/>
              <w:left w:val="single" w:color="D0D9E3" w:sz="1"/>
              <w:bottom w:val="single" w:color="D0D9E3" w:sz="1"/>
              <w:right w:val="single" w:color="D0D9E3" w:sz="1"/>
            </w:tcBorders>
            <w:shd w:fill="F5F7FA" w:val="clear"/>
            <w:tcMar>
              <w:top w:type="dxa" w:w="100"/>
              <w:left w:type="dxa" w:w="160"/>
              <w:bottom w:type="dxa" w:w="100"/>
              <w:right w:type="dxa" w:w="160"/>
            </w:tcMar>
          </w:tcPr>
          <w:p>
            <w:r>
              <w:rPr>
                <w:rFonts w:ascii="Arial" w:cs="Arial" w:eastAsia="Arial" w:hAnsi="Arial"/>
                <w:color w:val="555555"/>
                <w:sz w:val="20"/>
                <w:szCs w:val="20"/>
              </w:rPr>
              <w:t xml:space="preserve">Datos de mercado reales</w:t>
            </w:r>
          </w:p>
        </w:tc>
        <w:tc>
          <w:tcPr>
            <w:tcW w:type="dxa" w:w="1200"/>
            <w:tcBorders>
              <w:top w:val="single" w:color="D0D9E3" w:sz="1"/>
              <w:left w:val="single" w:color="D0D9E3" w:sz="1"/>
              <w:bottom w:val="single" w:color="D0D9E3" w:sz="1"/>
              <w:right w:val="single" w:color="D0D9E3" w:sz="1"/>
            </w:tcBorders>
            <w:shd w:fill="F5F7FA" w:val="clear"/>
            <w:tcMar>
              <w:top w:type="dxa" w:w="100"/>
              <w:left w:type="dxa" w:w="160"/>
              <w:bottom w:type="dxa" w:w="100"/>
              <w:right w:type="dxa" w:w="160"/>
            </w:tcMar>
          </w:tcPr>
          <w:p>
            <w:r>
              <w:rPr>
                <w:rFonts w:ascii="Arial" w:cs="Arial" w:eastAsia="Arial" w:hAnsi="Arial"/>
                <w:b w:val="false"/>
                <w:bCs w:val="false"/>
                <w:color w:val="777777"/>
                <w:sz w:val="20"/>
                <w:szCs w:val="20"/>
              </w:rPr>
              <w:t xml:space="preserve">Media</w:t>
            </w:r>
          </w:p>
        </w:tc>
      </w:tr>
      <w:tr>
        <w:tc>
          <w:tcPr>
            <w:tcW w:type="dxa" w:w="1800"/>
            <w:tcBorders>
              <w:top w:val="single" w:color="D0D9E3" w:sz="1"/>
              <w:left w:val="single" w:color="D0D9E3" w:sz="1"/>
              <w:bottom w:val="single" w:color="D0D9E3" w:sz="1"/>
              <w:right w:val="single" w:color="D0D9E3" w:sz="1"/>
            </w:tcBorders>
            <w:shd w:fill="FFFFFF" w:val="clear"/>
            <w:tcMar>
              <w:top w:type="dxa" w:w="100"/>
              <w:left w:type="dxa" w:w="160"/>
              <w:bottom w:type="dxa" w:w="100"/>
              <w:right w:type="dxa" w:w="160"/>
            </w:tcMar>
          </w:tcPr>
          <w:p>
            <w:r>
              <w:rPr>
                <w:rFonts w:ascii="Arial" w:cs="Arial" w:eastAsia="Arial" w:hAnsi="Arial"/>
                <w:b/>
                <w:bCs/>
                <w:color w:val="0E7490"/>
                <w:sz w:val="20"/>
                <w:szCs w:val="20"/>
              </w:rPr>
              <w:t xml:space="preserve">5-6</w:t>
            </w:r>
          </w:p>
        </w:tc>
        <w:tc>
          <w:tcPr>
            <w:tcW w:type="dxa" w:w="4560"/>
            <w:tcBorders>
              <w:top w:val="single" w:color="D0D9E3" w:sz="1"/>
              <w:left w:val="single" w:color="D0D9E3" w:sz="1"/>
              <w:bottom w:val="single" w:color="D0D9E3" w:sz="1"/>
              <w:right w:val="single" w:color="D0D9E3"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Diseno del programa de certificacion: estructura de modulos, precios, plataforma</w:t>
            </w:r>
          </w:p>
        </w:tc>
        <w:tc>
          <w:tcPr>
            <w:tcW w:type="dxa" w:w="1800"/>
            <w:tcBorders>
              <w:top w:val="single" w:color="D0D9E3" w:sz="1"/>
              <w:left w:val="single" w:color="D0D9E3" w:sz="1"/>
              <w:bottom w:val="single" w:color="D0D9E3" w:sz="1"/>
              <w:right w:val="single" w:color="D0D9E3"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Producto Nivel 3</w:t>
            </w:r>
          </w:p>
        </w:tc>
        <w:tc>
          <w:tcPr>
            <w:tcW w:type="dxa" w:w="1200"/>
            <w:tcBorders>
              <w:top w:val="single" w:color="D0D9E3" w:sz="1"/>
              <w:left w:val="single" w:color="D0D9E3" w:sz="1"/>
              <w:bottom w:val="single" w:color="D0D9E3" w:sz="1"/>
              <w:right w:val="single" w:color="D0D9E3" w:sz="1"/>
            </w:tcBorders>
            <w:shd w:fill="FFFFFF" w:val="clear"/>
            <w:tcMar>
              <w:top w:type="dxa" w:w="100"/>
              <w:left w:type="dxa" w:w="160"/>
              <w:bottom w:type="dxa" w:w="100"/>
              <w:right w:type="dxa" w:w="160"/>
            </w:tcMar>
          </w:tcPr>
          <w:p>
            <w:r>
              <w:rPr>
                <w:rFonts w:ascii="Arial" w:cs="Arial" w:eastAsia="Arial" w:hAnsi="Arial"/>
                <w:b w:val="false"/>
                <w:bCs w:val="false"/>
                <w:color w:val="777777"/>
                <w:sz w:val="20"/>
                <w:szCs w:val="20"/>
              </w:rPr>
              <w:t xml:space="preserve">Media</w:t>
            </w:r>
          </w:p>
        </w:tc>
      </w:tr>
      <w:tr>
        <w:tc>
          <w:tcPr>
            <w:tcW w:type="dxa" w:w="1800"/>
            <w:tcBorders>
              <w:top w:val="single" w:color="D0D9E3" w:sz="1"/>
              <w:left w:val="single" w:color="D0D9E3" w:sz="1"/>
              <w:bottom w:val="single" w:color="D0D9E3" w:sz="1"/>
              <w:right w:val="single" w:color="D0D9E3" w:sz="1"/>
            </w:tcBorders>
            <w:shd w:fill="F5F7FA" w:val="clear"/>
            <w:tcMar>
              <w:top w:type="dxa" w:w="100"/>
              <w:left w:type="dxa" w:w="160"/>
              <w:bottom w:type="dxa" w:w="100"/>
              <w:right w:type="dxa" w:w="160"/>
            </w:tcMar>
          </w:tcPr>
          <w:p>
            <w:r>
              <w:rPr>
                <w:rFonts w:ascii="Arial" w:cs="Arial" w:eastAsia="Arial" w:hAnsi="Arial"/>
                <w:b/>
                <w:bCs/>
                <w:color w:val="0E7490"/>
                <w:sz w:val="20"/>
                <w:szCs w:val="20"/>
              </w:rPr>
              <w:t xml:space="preserve">5-6</w:t>
            </w:r>
          </w:p>
        </w:tc>
        <w:tc>
          <w:tcPr>
            <w:tcW w:type="dxa" w:w="4560"/>
            <w:tcBorders>
              <w:top w:val="single" w:color="D0D9E3" w:sz="1"/>
              <w:left w:val="single" w:color="D0D9E3" w:sz="1"/>
              <w:bottom w:val="single" w:color="D0D9E3" w:sz="1"/>
              <w:right w:val="single" w:color="D0D9E3" w:sz="1"/>
            </w:tcBorders>
            <w:shd w:fill="F5F7FA" w:val="clear"/>
            <w:tcMar>
              <w:top w:type="dxa" w:w="100"/>
              <w:left w:type="dxa" w:w="160"/>
              <w:bottom w:type="dxa" w:w="100"/>
              <w:right w:type="dxa" w:w="160"/>
            </w:tcMar>
          </w:tcPr>
          <w:p>
            <w:r>
              <w:rPr>
                <w:rFonts w:ascii="Arial" w:cs="Arial" w:eastAsia="Arial" w:hAnsi="Arial"/>
                <w:color w:val="333333"/>
                <w:sz w:val="20"/>
                <w:szCs w:val="20"/>
              </w:rPr>
              <w:t xml:space="preserve">Proponer colaboraciones a 5 lideres de RRHH latinoamericanos para aparecer como invitados en podcast</w:t>
            </w:r>
          </w:p>
        </w:tc>
        <w:tc>
          <w:tcPr>
            <w:tcW w:type="dxa" w:w="1800"/>
            <w:tcBorders>
              <w:top w:val="single" w:color="D0D9E3" w:sz="1"/>
              <w:left w:val="single" w:color="D0D9E3" w:sz="1"/>
              <w:bottom w:val="single" w:color="D0D9E3" w:sz="1"/>
              <w:right w:val="single" w:color="D0D9E3" w:sz="1"/>
            </w:tcBorders>
            <w:shd w:fill="F5F7FA" w:val="clear"/>
            <w:tcMar>
              <w:top w:type="dxa" w:w="100"/>
              <w:left w:type="dxa" w:w="160"/>
              <w:bottom w:type="dxa" w:w="100"/>
              <w:right w:type="dxa" w:w="160"/>
            </w:tcMar>
          </w:tcPr>
          <w:p>
            <w:r>
              <w:rPr>
                <w:rFonts w:ascii="Arial" w:cs="Arial" w:eastAsia="Arial" w:hAnsi="Arial"/>
                <w:color w:val="555555"/>
                <w:sz w:val="20"/>
                <w:szCs w:val="20"/>
              </w:rPr>
              <w:t xml:space="preserve">Distribucion amplificada</w:t>
            </w:r>
          </w:p>
        </w:tc>
        <w:tc>
          <w:tcPr>
            <w:tcW w:type="dxa" w:w="1200"/>
            <w:tcBorders>
              <w:top w:val="single" w:color="D0D9E3" w:sz="1"/>
              <w:left w:val="single" w:color="D0D9E3" w:sz="1"/>
              <w:bottom w:val="single" w:color="D0D9E3" w:sz="1"/>
              <w:right w:val="single" w:color="D0D9E3" w:sz="1"/>
            </w:tcBorders>
            <w:shd w:fill="F5F7FA" w:val="clear"/>
            <w:tcMar>
              <w:top w:type="dxa" w:w="100"/>
              <w:left w:type="dxa" w:w="160"/>
              <w:bottom w:type="dxa" w:w="100"/>
              <w:right w:type="dxa" w:w="160"/>
            </w:tcMar>
          </w:tcPr>
          <w:p>
            <w:r>
              <w:rPr>
                <w:rFonts w:ascii="Arial" w:cs="Arial" w:eastAsia="Arial" w:hAnsi="Arial"/>
                <w:b w:val="false"/>
                <w:bCs w:val="false"/>
                <w:color w:val="777777"/>
                <w:sz w:val="20"/>
                <w:szCs w:val="20"/>
              </w:rPr>
              <w:t xml:space="preserve">Media</w:t>
            </w:r>
          </w:p>
        </w:tc>
      </w:tr>
      <w:tr>
        <w:tc>
          <w:tcPr>
            <w:tcW w:type="dxa" w:w="1800"/>
            <w:tcBorders>
              <w:top w:val="single" w:color="D0D9E3" w:sz="1"/>
              <w:left w:val="single" w:color="D0D9E3" w:sz="1"/>
              <w:bottom w:val="single" w:color="D0D9E3" w:sz="1"/>
              <w:right w:val="single" w:color="D0D9E3" w:sz="1"/>
            </w:tcBorders>
            <w:shd w:fill="FFFFFF" w:val="clear"/>
            <w:tcMar>
              <w:top w:type="dxa" w:w="100"/>
              <w:left w:type="dxa" w:w="160"/>
              <w:bottom w:type="dxa" w:w="100"/>
              <w:right w:type="dxa" w:w="160"/>
            </w:tcMar>
          </w:tcPr>
          <w:p>
            <w:r>
              <w:rPr>
                <w:rFonts w:ascii="Arial" w:cs="Arial" w:eastAsia="Arial" w:hAnsi="Arial"/>
                <w:b/>
                <w:bCs/>
                <w:color w:val="0E7490"/>
                <w:sz w:val="20"/>
                <w:szCs w:val="20"/>
              </w:rPr>
              <w:t xml:space="preserve">7-8</w:t>
            </w:r>
          </w:p>
        </w:tc>
        <w:tc>
          <w:tcPr>
            <w:tcW w:type="dxa" w:w="4560"/>
            <w:tcBorders>
              <w:top w:val="single" w:color="D0D9E3" w:sz="1"/>
              <w:left w:val="single" w:color="D0D9E3" w:sz="1"/>
              <w:bottom w:val="single" w:color="D0D9E3" w:sz="1"/>
              <w:right w:val="single" w:color="D0D9E3"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Lanzar opcion de newsletter premium con primeros 50 suscriptores fundadores a precio especial</w:t>
            </w:r>
          </w:p>
        </w:tc>
        <w:tc>
          <w:tcPr>
            <w:tcW w:type="dxa" w:w="1800"/>
            <w:tcBorders>
              <w:top w:val="single" w:color="D0D9E3" w:sz="1"/>
              <w:left w:val="single" w:color="D0D9E3" w:sz="1"/>
              <w:bottom w:val="single" w:color="D0D9E3" w:sz="1"/>
              <w:right w:val="single" w:color="D0D9E3" w:sz="1"/>
            </w:tcBorders>
            <w:shd w:fill="FFFFFF" w:val="clear"/>
            <w:tcMar>
              <w:top w:type="dxa" w:w="100"/>
              <w:left w:type="dxa" w:w="160"/>
              <w:bottom w:type="dxa" w:w="100"/>
              <w:right w:type="dxa" w:w="160"/>
            </w:tcMar>
          </w:tcPr>
          <w:p>
            <w:r>
              <w:rPr>
                <w:rFonts w:ascii="Arial" w:cs="Arial" w:eastAsia="Arial" w:hAnsi="Arial"/>
                <w:color w:val="555555"/>
                <w:sz w:val="20"/>
                <w:szCs w:val="20"/>
              </w:rPr>
              <w:t xml:space="preserve">Primera MRR</w:t>
            </w:r>
          </w:p>
        </w:tc>
        <w:tc>
          <w:tcPr>
            <w:tcW w:type="dxa" w:w="1200"/>
            <w:tcBorders>
              <w:top w:val="single" w:color="D0D9E3" w:sz="1"/>
              <w:left w:val="single" w:color="D0D9E3" w:sz="1"/>
              <w:bottom w:val="single" w:color="D0D9E3" w:sz="1"/>
              <w:right w:val="single" w:color="D0D9E3" w:sz="1"/>
            </w:tcBorders>
            <w:shd w:fill="FFFFFF" w:val="clear"/>
            <w:tcMar>
              <w:top w:type="dxa" w:w="100"/>
              <w:left w:type="dxa" w:w="160"/>
              <w:bottom w:type="dxa" w:w="100"/>
              <w:right w:type="dxa" w:w="160"/>
            </w:tcMar>
          </w:tcPr>
          <w:p>
            <w:r>
              <w:rPr>
                <w:rFonts w:ascii="Arial" w:cs="Arial" w:eastAsia="Arial" w:hAnsi="Arial"/>
                <w:b/>
                <w:bCs/>
                <w:color w:val="1E3A5F"/>
                <w:sz w:val="20"/>
                <w:szCs w:val="20"/>
              </w:rPr>
              <w:t xml:space="preserve">Alta</w:t>
            </w:r>
          </w:p>
        </w:tc>
      </w:tr>
      <w:tr>
        <w:tc>
          <w:tcPr>
            <w:tcW w:type="dxa" w:w="1800"/>
            <w:tcBorders>
              <w:top w:val="single" w:color="D0D9E3" w:sz="1"/>
              <w:left w:val="single" w:color="D0D9E3" w:sz="1"/>
              <w:bottom w:val="single" w:color="D0D9E3" w:sz="1"/>
              <w:right w:val="single" w:color="D0D9E3" w:sz="1"/>
            </w:tcBorders>
            <w:shd w:fill="F5F7FA" w:val="clear"/>
            <w:tcMar>
              <w:top w:type="dxa" w:w="100"/>
              <w:left w:type="dxa" w:w="160"/>
              <w:bottom w:type="dxa" w:w="100"/>
              <w:right w:type="dxa" w:w="160"/>
            </w:tcMar>
          </w:tcPr>
          <w:p>
            <w:r>
              <w:rPr>
                <w:rFonts w:ascii="Arial" w:cs="Arial" w:eastAsia="Arial" w:hAnsi="Arial"/>
                <w:b/>
                <w:bCs/>
                <w:color w:val="0E7490"/>
                <w:sz w:val="20"/>
                <w:szCs w:val="20"/>
              </w:rPr>
              <w:t xml:space="preserve">9-12</w:t>
            </w:r>
          </w:p>
        </w:tc>
        <w:tc>
          <w:tcPr>
            <w:tcW w:type="dxa" w:w="4560"/>
            <w:tcBorders>
              <w:top w:val="single" w:color="D0D9E3" w:sz="1"/>
              <w:left w:val="single" w:color="D0D9E3" w:sz="1"/>
              <w:bottom w:val="single" w:color="D0D9E3" w:sz="1"/>
              <w:right w:val="single" w:color="D0D9E3" w:sz="1"/>
            </w:tcBorders>
            <w:shd w:fill="F5F7FA" w:val="clear"/>
            <w:tcMar>
              <w:top w:type="dxa" w:w="100"/>
              <w:left w:type="dxa" w:w="160"/>
              <w:bottom w:type="dxa" w:w="100"/>
              <w:right w:type="dxa" w:w="160"/>
            </w:tcMar>
          </w:tcPr>
          <w:p>
            <w:r>
              <w:rPr>
                <w:rFonts w:ascii="Arial" w:cs="Arial" w:eastAsia="Arial" w:hAnsi="Arial"/>
                <w:color w:val="333333"/>
                <w:sz w:val="20"/>
                <w:szCs w:val="20"/>
              </w:rPr>
              <w:t xml:space="preserve">Entregar primer taller corporativo, documentar resultados, crear caso de exito</w:t>
            </w:r>
          </w:p>
        </w:tc>
        <w:tc>
          <w:tcPr>
            <w:tcW w:type="dxa" w:w="1800"/>
            <w:tcBorders>
              <w:top w:val="single" w:color="D0D9E3" w:sz="1"/>
              <w:left w:val="single" w:color="D0D9E3" w:sz="1"/>
              <w:bottom w:val="single" w:color="D0D9E3" w:sz="1"/>
              <w:right w:val="single" w:color="D0D9E3" w:sz="1"/>
            </w:tcBorders>
            <w:shd w:fill="F5F7FA" w:val="clear"/>
            <w:tcMar>
              <w:top w:type="dxa" w:w="100"/>
              <w:left w:type="dxa" w:w="160"/>
              <w:bottom w:type="dxa" w:w="100"/>
              <w:right w:type="dxa" w:w="160"/>
            </w:tcMar>
          </w:tcPr>
          <w:p>
            <w:r>
              <w:rPr>
                <w:rFonts w:ascii="Arial" w:cs="Arial" w:eastAsia="Arial" w:hAnsi="Arial"/>
                <w:color w:val="555555"/>
                <w:sz w:val="20"/>
                <w:szCs w:val="20"/>
              </w:rPr>
              <w:t xml:space="preserve">Prueba social</w:t>
            </w:r>
          </w:p>
        </w:tc>
        <w:tc>
          <w:tcPr>
            <w:tcW w:type="dxa" w:w="1200"/>
            <w:tcBorders>
              <w:top w:val="single" w:color="D0D9E3" w:sz="1"/>
              <w:left w:val="single" w:color="D0D9E3" w:sz="1"/>
              <w:bottom w:val="single" w:color="D0D9E3" w:sz="1"/>
              <w:right w:val="single" w:color="D0D9E3" w:sz="1"/>
            </w:tcBorders>
            <w:shd w:fill="F5F7FA" w:val="clear"/>
            <w:tcMar>
              <w:top w:type="dxa" w:w="100"/>
              <w:left w:type="dxa" w:w="160"/>
              <w:bottom w:type="dxa" w:w="100"/>
              <w:right w:type="dxa" w:w="160"/>
            </w:tcMar>
          </w:tcPr>
          <w:p>
            <w:r>
              <w:rPr>
                <w:rFonts w:ascii="Arial" w:cs="Arial" w:eastAsia="Arial" w:hAnsi="Arial"/>
                <w:b/>
                <w:bCs/>
                <w:color w:val="1E3A5F"/>
                <w:sz w:val="20"/>
                <w:szCs w:val="20"/>
              </w:rPr>
              <w:t xml:space="preserve">Alta</w:t>
            </w:r>
          </w:p>
        </w:tc>
      </w:tr>
    </w:tbl>
    <w:p>
      <w:pPr>
        <w:pBdr>
          <w:bottom w:val="single" w:color="0E7490" w:sz="4" w:space="1"/>
        </w:pBdr>
        <w:spacing w:after="200" w:before="200"/>
      </w:pPr>
      <w:r>
        <w:t xml:space="preserve"/>
      </w:r>
    </w:p>
    <w:p>
      <w:pPr>
        <w:pStyle w:val="Heading1"/>
        <w:spacing w:after="200" w:before="400"/>
      </w:pPr>
      <w:r>
        <w:rPr>
          <w:rFonts w:ascii="Arial" w:cs="Arial" w:eastAsia="Arial" w:hAnsi="Arial"/>
          <w:b/>
          <w:bCs/>
          <w:color w:val="1E3A5F"/>
          <w:sz w:val="32"/>
          <w:szCs w:val="32"/>
        </w:rPr>
        <w:t xml:space="preserve">8. El Ultimo Movimiento: Pensando en la Posicion Final</w:t>
      </w:r>
    </w:p>
    <w:p>
      <w:pPr>
        <w:spacing w:after="0" w:before="80"/>
      </w:pPr>
      <w:r>
        <w:t xml:space="preserve"/>
      </w:r>
    </w:p>
    <w:p>
      <w:pPr>
        <w:spacing w:after="120" w:before="80"/>
      </w:pPr>
      <w:r>
        <w:rPr>
          <w:rFonts w:ascii="Arial" w:cs="Arial" w:eastAsia="Arial" w:hAnsi="Arial"/>
          <w:color w:val="333333"/>
          <w:sz w:val="22"/>
          <w:szCs w:val="22"/>
        </w:rPr>
        <w:t xml:space="preserve">Thiel habla de la ventaja del ultimo movimiento, no del primero. No se trata de ser el primero en entrar al mercado, sino de ser el que define las reglas del mercado cuando este madura. PeopleBot debe pensar desde hoy en que mercado quiere dominar en 2030.</w:t>
      </w:r>
    </w:p>
    <w:p>
      <w:pPr>
        <w:spacing w:after="0" w:before="80"/>
      </w:pPr>
      <w:r>
        <w:t xml:space="preserve"/>
      </w:r>
    </w:p>
    <w:p>
      <w:pPr>
        <w:pBdr>
          <w:left w:val="single" w:color="0E7490" w:sz="12" w:space="12"/>
        </w:pBdr>
        <w:spacing w:after="160" w:before="160"/>
        <w:ind w:left="720"/>
      </w:pPr>
      <w:r>
        <w:rPr>
          <w:rFonts w:ascii="Arial" w:cs="Arial" w:eastAsia="Arial" w:hAnsi="Arial"/>
          <w:b/>
          <w:bCs/>
          <w:i/>
          <w:iCs/>
          <w:color w:val="1E3A5F"/>
          <w:sz w:val="24"/>
          <w:szCs w:val="24"/>
        </w:rPr>
        <w:t xml:space="preserve">El objetivo no es ser el mejor canal de contenido sobre IA para RRHH en Latinoamerica. El objetivo es ser la plataforma de referencia que certifica, conecta y forma a los lideres de RRHH en habla hispana que lideran la era de la IA.</w:t>
      </w:r>
    </w:p>
    <w:p>
      <w:pPr>
        <w:spacing w:after="0" w:before="120"/>
      </w:pPr>
      <w:r>
        <w:t xml:space="preserve"/>
      </w:r>
    </w:p>
    <w:p>
      <w:pPr>
        <w:spacing w:after="120" w:before="80"/>
      </w:pPr>
      <w:r>
        <w:rPr>
          <w:rFonts w:ascii="Arial" w:cs="Arial" w:eastAsia="Arial" w:hAnsi="Arial"/>
          <w:color w:val="333333"/>
          <w:sz w:val="22"/>
          <w:szCs w:val="22"/>
        </w:rPr>
        <w:t xml:space="preserve">Eso requiere tres cosas que no existen aun pero que PeopleBot puede construir:</w:t>
      </w:r>
    </w:p>
    <w:p>
      <w:pPr>
        <w:spacing w:after="0" w:before="80"/>
      </w:pPr>
      <w:r>
        <w:t xml:space="preserve"/>
      </w:r>
    </w:p>
    <w:p>
      <w:pPr>
        <w:pStyle w:val="ListParagraph"/>
        <w:numPr>
          <w:ilvl w:val="0"/>
          <w:numId w:val="3"/>
        </w:numPr>
        <w:spacing w:after="80" w:before="80"/>
      </w:pPr>
      <w:r>
        <w:rPr>
          <w:rFonts w:ascii="Arial" w:cs="Arial" w:eastAsia="Arial" w:hAnsi="Arial"/>
          <w:b/>
          <w:bCs/>
          <w:color w:val="1E3A5F"/>
          <w:sz w:val="22"/>
          <w:szCs w:val="22"/>
        </w:rPr>
        <w:t xml:space="preserve">Una certificacion reconocida: </w:t>
      </w:r>
      <w:r>
        <w:rPr>
          <w:rFonts w:ascii="Arial" w:cs="Arial" w:eastAsia="Arial" w:hAnsi="Arial"/>
          <w:sz w:val="22"/>
          <w:szCs w:val="22"/>
        </w:rPr>
        <w:t xml:space="preserve">El certificado PeopleBot en IA para RRHH debe ser la credencial que los profesionales buscan poner en su perfil de LinkedIn.</w:t>
      </w:r>
    </w:p>
    <w:p>
      <w:pPr>
        <w:pStyle w:val="ListParagraph"/>
        <w:numPr>
          <w:ilvl w:val="0"/>
          <w:numId w:val="3"/>
        </w:numPr>
        <w:spacing w:after="80" w:before="80"/>
      </w:pPr>
      <w:r>
        <w:rPr>
          <w:rFonts w:ascii="Arial" w:cs="Arial" w:eastAsia="Arial" w:hAnsi="Arial"/>
          <w:b/>
          <w:bCs/>
          <w:color w:val="1E3A5F"/>
          <w:sz w:val="22"/>
          <w:szCs w:val="22"/>
        </w:rPr>
        <w:t xml:space="preserve">Una red de alumni: </w:t>
      </w:r>
      <w:r>
        <w:rPr>
          <w:rFonts w:ascii="Arial" w:cs="Arial" w:eastAsia="Arial" w:hAnsi="Arial"/>
          <w:sz w:val="22"/>
          <w:szCs w:val="22"/>
        </w:rPr>
        <w:t xml:space="preserve">Cada persona que pasa por el programa de certificacion se convierte en parte de la red. La red es el activo mas valioso a largo plazo.</w:t>
      </w:r>
    </w:p>
    <w:p>
      <w:pPr>
        <w:pStyle w:val="ListParagraph"/>
        <w:numPr>
          <w:ilvl w:val="0"/>
          <w:numId w:val="3"/>
        </w:numPr>
        <w:spacing w:after="80" w:before="80"/>
      </w:pPr>
      <w:r>
        <w:rPr>
          <w:rFonts w:ascii="Arial" w:cs="Arial" w:eastAsia="Arial" w:hAnsi="Arial"/>
          <w:b/>
          <w:bCs/>
          <w:color w:val="1E3A5F"/>
          <w:sz w:val="22"/>
          <w:szCs w:val="22"/>
        </w:rPr>
        <w:t xml:space="preserve">Un indice de adopcion de IA en RRHH: </w:t>
      </w:r>
      <w:r>
        <w:rPr>
          <w:rFonts w:ascii="Arial" w:cs="Arial" w:eastAsia="Arial" w:hAnsi="Arial"/>
          <w:sz w:val="22"/>
          <w:szCs w:val="22"/>
        </w:rPr>
        <w:t xml:space="preserve">Un reporte anual publicado por PeopleBot que mide como las empresas latinoamericanas estan adoptando IA en sus funciones de RRHH. Ese reporte se convierte en PR gratuito, credibilidad institucional y data propietaria.</w:t>
      </w:r>
    </w:p>
    <w:p>
      <w:pPr>
        <w:pBdr>
          <w:bottom w:val="single" w:color="0E7490" w:sz="4" w:space="1"/>
        </w:pBdr>
        <w:spacing w:after="200" w:before="200"/>
      </w:pPr>
      <w:r>
        <w:t xml:space="preserve"/>
      </w:r>
    </w:p>
    <w:p>
      <w:pPr>
        <w:pStyle w:val="Heading1"/>
        <w:spacing w:after="200" w:before="400"/>
      </w:pPr>
      <w:r>
        <w:rPr>
          <w:rFonts w:ascii="Arial" w:cs="Arial" w:eastAsia="Arial" w:hAnsi="Arial"/>
          <w:b/>
          <w:bCs/>
          <w:color w:val="1E3A5F"/>
          <w:sz w:val="32"/>
          <w:szCs w:val="32"/>
        </w:rPr>
        <w:t xml:space="preserve">9. Los Riesgos que Debes Nombrar</w:t>
      </w:r>
    </w:p>
    <w:p>
      <w:pPr>
        <w:spacing w:after="0" w:before="80"/>
      </w:pPr>
      <w:r>
        <w:t xml:space="preserve"/>
      </w:r>
    </w:p>
    <w:p>
      <w:pPr>
        <w:spacing w:after="120" w:before="80"/>
      </w:pPr>
      <w:r>
        <w:rPr>
          <w:rFonts w:ascii="Arial" w:cs="Arial" w:eastAsia="Arial" w:hAnsi="Arial"/>
          <w:color w:val="333333"/>
          <w:sz w:val="22"/>
          <w:szCs w:val="22"/>
        </w:rPr>
        <w:t xml:space="preserve">Todo plan de negocio que no nombra sus riesgos reales es propaganda. Estos son los tres riesgos principales de PeopleBot y como mitigarlos: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9E3" w:sz="1"/>
              <w:left w:val="single" w:color="D0D9E3" w:sz="1"/>
              <w:bottom w:val="single" w:color="D0D9E3" w:sz="1"/>
              <w:right w:val="single" w:color="D0D9E3" w:sz="1"/>
            </w:tcBorders>
            <w:shd w:fill="E8F4F8" w:val="clear"/>
            <w:tcMar>
              <w:top w:type="dxa" w:w="160"/>
              <w:left w:type="dxa" w:w="180"/>
              <w:bottom w:type="dxa" w:w="160"/>
              <w:right w:type="dxa" w:w="180"/>
            </w:tcMar>
          </w:tcPr>
          <w:p>
            <w:pPr>
              <w:spacing w:after="120" w:before="0"/>
            </w:pPr>
            <w:r>
              <w:rPr>
                <w:rFonts w:ascii="Arial" w:cs="Arial" w:eastAsia="Arial" w:hAnsi="Arial"/>
                <w:b/>
                <w:bCs/>
                <w:color w:val="1E3A5F"/>
                <w:sz w:val="22"/>
                <w:szCs w:val="22"/>
              </w:rPr>
              <w:t xml:space="preserve">Riesgo</w:t>
            </w:r>
          </w:p>
          <w:p>
            <w:pPr>
              <w:pStyle w:val="ListParagraph"/>
              <w:numPr>
                <w:ilvl w:val="0"/>
                <w:numId w:val="2"/>
              </w:numPr>
              <w:spacing w:after="60" w:before="60"/>
            </w:pPr>
            <w:r>
              <w:rPr>
                <w:rFonts w:ascii="Arial" w:cs="Arial" w:eastAsia="Arial" w:hAnsi="Arial"/>
                <w:color w:val="333333"/>
                <w:sz w:val="20"/>
                <w:szCs w:val="20"/>
              </w:rPr>
              <w:t xml:space="preserve">Saturacion del mercado por grandes plataformas (Coursera, LinkedIn Learning en espanol)</w:t>
            </w:r>
          </w:p>
          <w:p>
            <w:pPr>
              <w:pStyle w:val="ListParagraph"/>
              <w:numPr>
                <w:ilvl w:val="0"/>
                <w:numId w:val="2"/>
              </w:numPr>
              <w:spacing w:after="60" w:before="60"/>
            </w:pPr>
            <w:r>
              <w:rPr>
                <w:rFonts w:ascii="Arial" w:cs="Arial" w:eastAsia="Arial" w:hAnsi="Arial"/>
                <w:color w:val="333333"/>
                <w:sz w:val="20"/>
                <w:szCs w:val="20"/>
              </w:rPr>
              <w:t xml:space="preserve">Dependencia de la marca personal de Gustavo como cuello de botella</w:t>
            </w:r>
          </w:p>
          <w:p>
            <w:pPr>
              <w:pStyle w:val="ListParagraph"/>
              <w:numPr>
                <w:ilvl w:val="0"/>
                <w:numId w:val="2"/>
              </w:numPr>
              <w:spacing w:after="60" w:before="60"/>
            </w:pPr>
            <w:r>
              <w:rPr>
                <w:rFonts w:ascii="Arial" w:cs="Arial" w:eastAsia="Arial" w:hAnsi="Arial"/>
                <w:color w:val="333333"/>
                <w:sz w:val="20"/>
                <w:szCs w:val="20"/>
              </w:rPr>
              <w:t xml:space="preserve">Fatiga de contenido: la audiencia deja de comprometerse</w:t>
            </w:r>
          </w:p>
        </w:tc>
        <w:tc>
          <w:tcPr>
            <w:tcW w:type="dxa" w:w="4680"/>
            <w:tcBorders>
              <w:top w:val="single" w:color="D0D9E3" w:sz="1"/>
              <w:left w:val="single" w:color="D0D9E3" w:sz="1"/>
              <w:bottom w:val="single" w:color="D0D9E3" w:sz="1"/>
              <w:right w:val="single" w:color="D0D9E3" w:sz="1"/>
            </w:tcBorders>
            <w:shd w:fill="E0F2F7" w:val="clear"/>
            <w:tcMar>
              <w:top w:type="dxa" w:w="160"/>
              <w:left w:type="dxa" w:w="180"/>
              <w:bottom w:type="dxa" w:w="160"/>
              <w:right w:type="dxa" w:w="180"/>
            </w:tcMar>
          </w:tcPr>
          <w:p>
            <w:pPr>
              <w:spacing w:after="120" w:before="0"/>
            </w:pPr>
            <w:r>
              <w:rPr>
                <w:rFonts w:ascii="Arial" w:cs="Arial" w:eastAsia="Arial" w:hAnsi="Arial"/>
                <w:b/>
                <w:bCs/>
                <w:color w:val="1E3A5F"/>
                <w:sz w:val="22"/>
                <w:szCs w:val="22"/>
              </w:rPr>
              <w:t xml:space="preserve">Mitigacion</w:t>
            </w:r>
          </w:p>
          <w:p>
            <w:pPr>
              <w:pStyle w:val="ListParagraph"/>
              <w:numPr>
                <w:ilvl w:val="0"/>
                <w:numId w:val="2"/>
              </w:numPr>
              <w:spacing w:after="60" w:before="60"/>
            </w:pPr>
            <w:r>
              <w:rPr>
                <w:rFonts w:ascii="Arial" w:cs="Arial" w:eastAsia="Arial" w:hAnsi="Arial"/>
                <w:color w:val="333333"/>
                <w:sz w:val="20"/>
                <w:szCs w:val="20"/>
              </w:rPr>
              <w:t xml:space="preserve">Profundidad y especificidad que las grandes plataformas no pueden ofrecer. PeopleBot conoce la realidad LATAM.</w:t>
            </w:r>
          </w:p>
          <w:p>
            <w:pPr>
              <w:pStyle w:val="ListParagraph"/>
              <w:numPr>
                <w:ilvl w:val="0"/>
                <w:numId w:val="2"/>
              </w:numPr>
              <w:spacing w:after="60" w:before="60"/>
            </w:pPr>
            <w:r>
              <w:rPr>
                <w:rFonts w:ascii="Arial" w:cs="Arial" w:eastAsia="Arial" w:hAnsi="Arial"/>
                <w:color w:val="333333"/>
                <w:sz w:val="20"/>
                <w:szCs w:val="20"/>
              </w:rPr>
              <w:t xml:space="preserve">Construir la marca PeopleBot como entidad separada desde ahora: comunidad, metodologia, certificacion.</w:t>
            </w:r>
          </w:p>
          <w:p>
            <w:pPr>
              <w:pStyle w:val="ListParagraph"/>
              <w:numPr>
                <w:ilvl w:val="0"/>
                <w:numId w:val="2"/>
              </w:numPr>
              <w:spacing w:after="60" w:before="60"/>
            </w:pPr>
            <w:r>
              <w:rPr>
                <w:rFonts w:ascii="Arial" w:cs="Arial" w:eastAsia="Arial" w:hAnsi="Arial"/>
                <w:color w:val="333333"/>
                <w:sz w:val="20"/>
                <w:szCs w:val="20"/>
              </w:rPr>
              <w:t xml:space="preserve">Pivotear de contenido de consumo a contenido de aplicacion. Menos noticias, mas ejercicios practicos.</w:t>
            </w:r>
          </w:p>
        </w:tc>
      </w:tr>
    </w:tbl>
    <w:p>
      <w:pPr>
        <w:pBdr>
          <w:bottom w:val="single" w:color="0E7490" w:sz="4" w:space="1"/>
        </w:pBdr>
        <w:spacing w:after="200" w:before="200"/>
      </w:pPr>
      <w:r>
        <w:t xml:space="preserve"/>
      </w:r>
    </w:p>
    <w:p>
      <w:pPr>
        <w:pStyle w:val="Heading1"/>
        <w:spacing w:after="200" w:before="400"/>
      </w:pPr>
      <w:r>
        <w:rPr>
          <w:rFonts w:ascii="Arial" w:cs="Arial" w:eastAsia="Arial" w:hAnsi="Arial"/>
          <w:b/>
          <w:bCs/>
          <w:color w:val="1E3A5F"/>
          <w:sz w:val="32"/>
          <w:szCs w:val="32"/>
        </w:rPr>
        <w:t xml:space="preserve">Cierre: La Apuesta Vale la Pena</w:t>
      </w:r>
    </w:p>
    <w:p>
      <w:pPr>
        <w:spacing w:after="0" w:before="80"/>
      </w:pPr>
      <w:r>
        <w:t xml:space="preserve"/>
      </w:r>
    </w:p>
    <w:p>
      <w:pPr>
        <w:spacing w:after="120" w:before="80"/>
      </w:pPr>
      <w:r>
        <w:rPr>
          <w:rFonts w:ascii="Arial" w:cs="Arial" w:eastAsia="Arial" w:hAnsi="Arial"/>
          <w:color w:val="333333"/>
          <w:sz w:val="22"/>
          <w:szCs w:val="22"/>
        </w:rPr>
        <w:t xml:space="preserve">PeopleBot tiene lo mas dificil ya construido: una audiencia que confía, un corpus de conocimiento unico, y un fundador que entiende tanto el mundo de RRHH como el mundo de la IA. Eso no es un punto de partida comun. La mayoria de los negocios de contenido y consultoria fracasan porque construyen uno sin el otro.</w:t>
      </w:r>
    </w:p>
    <w:p>
      <w:pPr>
        <w:spacing w:after="0" w:before="80"/>
      </w:pPr>
      <w:r>
        <w:t xml:space="preserve"/>
      </w:r>
    </w:p>
    <w:p>
      <w:pPr>
        <w:spacing w:after="120" w:before="80"/>
      </w:pPr>
      <w:r>
        <w:rPr>
          <w:rFonts w:ascii="Arial" w:cs="Arial" w:eastAsia="Arial" w:hAnsi="Arial"/>
          <w:color w:val="333333"/>
          <w:sz w:val="22"/>
          <w:szCs w:val="22"/>
        </w:rPr>
        <w:t xml:space="preserve">Lo que falta es decision. Decision de cobrar por el valor que ya creas. Decision de tratar a PeopleBot como el negocio de referencia que puede ser, no solo como un canal de comunicacion. Decision de jugar a ganar el mercado en lugar de a participar en el.</w:t>
      </w:r>
    </w:p>
    <w:p>
      <w:pPr>
        <w:spacing w:after="0" w:before="80"/>
      </w:pPr>
      <w:r>
        <w:t xml:space="preserve"/>
      </w:r>
    </w:p>
    <w:p>
      <w:pPr>
        <w:pBdr>
          <w:left w:val="single" w:color="0E7490" w:sz="12" w:space="12"/>
        </w:pBdr>
        <w:spacing w:after="160" w:before="160"/>
        <w:ind w:left="720"/>
      </w:pPr>
      <w:r>
        <w:rPr>
          <w:rFonts w:ascii="Arial" w:cs="Arial" w:eastAsia="Arial" w:hAnsi="Arial"/>
          <w:b/>
          <w:bCs/>
          <w:i/>
          <w:iCs/>
          <w:color w:val="1E3A5F"/>
          <w:sz w:val="24"/>
          <w:szCs w:val="24"/>
        </w:rPr>
        <w:t xml:space="preserve">La competencia destruye el valor. El monopolio lo crea. PeopleBot puede ser el monopolio en su categoria si actua antes de que la categoria este llena.</w:t>
      </w:r>
    </w:p>
    <w:p>
      <w:pPr>
        <w:spacing w:after="0" w:before="120"/>
      </w:pPr>
      <w:r>
        <w:t xml:space="preserve"/>
      </w:r>
    </w:p>
    <w:p>
      <w:pPr>
        <w:spacing w:after="120" w:before="80"/>
      </w:pPr>
      <w:r>
        <w:rPr>
          <w:rFonts w:ascii="Arial" w:cs="Arial" w:eastAsia="Arial" w:hAnsi="Arial"/>
          <w:color w:val="333333"/>
          <w:sz w:val="22"/>
          <w:szCs w:val="22"/>
        </w:rPr>
        <w:t xml:space="preserve">El mercado de formacion en IA para RRHH en habla hispana vale cientos de millones de dolares. Hoy casi nadie lo esta sirviendo bien. Eso no durara mucho tiempo. La pregunta no es si alguien va a dominar este espacio. La pregunta es si vas a ser tu.</w:t>
      </w:r>
    </w:p>
    <w:p>
      <w:pPr>
        <w:spacing w:after="0" w:before="80"/>
      </w:pPr>
      <w:r>
        <w:t xml:space="preserve"/>
      </w:r>
    </w:p>
    <w:p>
      <w:pPr>
        <w:spacing w:after="80" w:before="240"/>
        <w:jc w:val="right"/>
      </w:pPr>
      <w:r>
        <w:rPr>
          <w:rFonts w:ascii="Arial" w:cs="Arial" w:eastAsia="Arial" w:hAnsi="Arial"/>
          <w:i/>
          <w:iCs/>
          <w:color w:val="888888"/>
          <w:sz w:val="18"/>
          <w:szCs w:val="18"/>
        </w:rPr>
        <w:t xml:space="preserve">Perspectiva estrategica elaborada con base en los principios de Zero to One (Peter Thiel)</w:t>
      </w:r>
    </w:p>
    <w:p>
      <w:pPr>
        <w:spacing w:after="0" w:before="0"/>
        <w:jc w:val="right"/>
      </w:pPr>
      <w:r>
        <w:rPr>
          <w:rFonts w:ascii="Arial" w:cs="Arial" w:eastAsia="Arial" w:hAnsi="Arial"/>
          <w:color w:val="888888"/>
          <w:sz w:val="18"/>
          <w:szCs w:val="18"/>
        </w:rPr>
        <w:t xml:space="preserve">Para Gustavo Valbuena | PeopleBot | Abril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9E3" w:sz="2" w:space="4"/>
      </w:pBdr>
      <w:tabs>
        <w:tab w:val="right" w:pos="9360"/>
      </w:tabs>
    </w:pPr>
    <w:r>
      <w:rPr>
        <w:rFonts w:ascii="Arial" w:cs="Arial" w:eastAsia="Arial" w:hAnsi="Arial"/>
        <w:color w:val="999999"/>
        <w:sz w:val="16"/>
        <w:szCs w:val="16"/>
      </w:rPr>
      <w:t xml:space="preserve">Confidencial</w:t>
    </w:r>
    <w:r>
      <w:rPr>
        <w:rFonts w:ascii="Arial" w:cs="Arial" w:eastAsia="Arial" w:hAnsi="Arial"/>
        <w:color w:val="999999"/>
        <w:sz w:val="16"/>
        <w:szCs w:val="16"/>
      </w:rPr>
      <w:t xml:space="preserve">	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490" w:sz="4" w:space="4"/>
      </w:pBdr>
      <w:tabs>
        <w:tab w:val="right" w:pos="9360"/>
      </w:tabs>
    </w:pPr>
    <w:r>
      <w:rPr>
        <w:rFonts w:ascii="Arial" w:cs="Arial" w:eastAsia="Arial" w:hAnsi="Arial"/>
        <w:b/>
        <w:bCs/>
        <w:color w:val="1E3A5F"/>
        <w:sz w:val="18"/>
        <w:szCs w:val="18"/>
      </w:rPr>
      <w:t xml:space="preserve">PeopleBot</w:t>
    </w:r>
    <w:r>
      <w:rPr>
        <w:rFonts w:ascii="Arial" w:cs="Arial" w:eastAsia="Arial" w:hAnsi="Arial"/>
        <w:color w:val="777777"/>
        <w:sz w:val="18"/>
        <w:szCs w:val="18"/>
      </w:rPr>
      <w:t xml:space="preserve">	Plan de Negocio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0E74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2026-04-05T17:13:47.540Z</dcterms:created>
  <dcterms:modified xsi:type="dcterms:W3CDTF">2026-04-05T17:13:47.540Z</dcterms:modified>
</cp:coreProperties>
</file>

<file path=docProps/custom.xml><?xml version="1.0" encoding="utf-8"?>
<Properties xmlns="http://schemas.openxmlformats.org/officeDocument/2006/custom-properties" xmlns:vt="http://schemas.openxmlformats.org/officeDocument/2006/docPropsVTypes"/>
</file>