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0" w:line="276" w:lineRule="auto"/>
        <w:jc w:val="center"/>
      </w:pPr>
      <w:r>
        <w:rPr>
          <w:rFonts w:ascii="Times New Roman" w:cs="Times New Roman" w:eastAsia="Times New Roman" w:hAnsi="Times New Roman"/>
          <w:b/>
          <w:bCs/>
          <w:i w:val="false"/>
          <w:iCs w:val="false"/>
          <w:sz w:val="32"/>
          <w:szCs w:val="32"/>
        </w:rPr>
        <w:t xml:space="preserve">PROPOSAL KEGIATAN</w:t>
      </w:r>
    </w:p>
    <w:p>
      <w:pPr>
        <w:spacing w:after="80" w:before="0" w:line="276" w:lineRule="auto"/>
        <w:jc w:val="center"/>
      </w:pPr>
      <w:r>
        <w:rPr>
          <w:rFonts w:ascii="Times New Roman" w:cs="Times New Roman" w:eastAsia="Times New Roman" w:hAnsi="Times New Roman"/>
          <w:b/>
          <w:bCs/>
          <w:i w:val="false"/>
          <w:iCs w:val="false"/>
          <w:sz w:val="28"/>
          <w:szCs w:val="28"/>
        </w:rPr>
        <w:t xml:space="preserve">DANA INDONESIANA</w:t>
      </w:r>
    </w:p>
    <w:p>
      <w:pPr>
        <w:spacing w:after="240" w:before="0" w:line="276" w:lineRule="auto"/>
        <w:jc w:val="center"/>
      </w:pPr>
      <w:r>
        <w:rPr>
          <w:rFonts w:ascii="Times New Roman" w:cs="Times New Roman" w:eastAsia="Times New Roman" w:hAnsi="Times New Roman"/>
          <w:b/>
          <w:bCs/>
          <w:i w:val="false"/>
          <w:iCs w:val="false"/>
          <w:sz w:val="22"/>
          <w:szCs w:val="22"/>
        </w:rPr>
        <w:t xml:space="preserve">KATEGORI KAJIAN OBJEK PEMAJUAN KEBUDAYAAN DAN CAGAR BUDAYA</w:t>
      </w:r>
    </w:p>
    <w:p>
      <w:pPr>
        <w:pBdr>
          <w:bottom w:val="single" w:color="1F4E79" w:sz="6"/>
        </w:pBdr>
        <w:spacing w:after="240" w:before="0"/>
        <w:jc w:val="center"/>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276" w:lineRule="auto"/>
        <w:jc w:val="center"/>
      </w:pPr>
      <w:r>
        <w:rPr>
          <w:rFonts w:ascii="Times New Roman" w:cs="Times New Roman" w:eastAsia="Times New Roman" w:hAnsi="Times New Roman"/>
          <w:b/>
          <w:bCs/>
          <w:i w:val="false"/>
          <w:iCs w:val="false"/>
          <w:sz w:val="30"/>
          <w:szCs w:val="30"/>
        </w:rPr>
        <w:t xml:space="preserve">ETNOMATEMATIKA SIKLUS PADI DAYAK KANAYATN DI LANDAK:</w:t>
      </w:r>
    </w:p>
    <w:p>
      <w:pPr>
        <w:spacing w:after="480" w:before="0" w:line="276" w:lineRule="auto"/>
        <w:jc w:val="center"/>
      </w:pPr>
      <w:r>
        <w:rPr>
          <w:rFonts w:ascii="Times New Roman" w:cs="Times New Roman" w:eastAsia="Times New Roman" w:hAnsi="Times New Roman"/>
          <w:b/>
          <w:bCs/>
          <w:i w:val="false"/>
          <w:iCs w:val="false"/>
          <w:sz w:val="30"/>
          <w:szCs w:val="30"/>
        </w:rPr>
        <w:t xml:space="preserve">EKSPLORASI PENGETAHUAN TRADISIONAL DAN RITUS PERTANIAN</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0" w:line="276" w:lineRule="auto"/>
        <w:jc w:val="center"/>
      </w:pPr>
      <w:r>
        <w:rPr>
          <w:rFonts w:ascii="Times New Roman" w:cs="Times New Roman" w:eastAsia="Times New Roman" w:hAnsi="Times New Roman"/>
          <w:b w:val="false"/>
          <w:bCs w:val="false"/>
          <w:i w:val="false"/>
          <w:iCs w:val="false"/>
          <w:sz w:val="24"/>
          <w:szCs w:val="24"/>
        </w:rPr>
        <w:t xml:space="preserve">Diajukan oleh:</w:t>
      </w:r>
    </w:p>
    <w:p>
      <w:pPr>
        <w:spacing w:after="80" w:before="0" w:line="276" w:lineRule="auto"/>
        <w:jc w:val="center"/>
      </w:pPr>
      <w:r>
        <w:rPr>
          <w:rFonts w:ascii="Times New Roman" w:cs="Times New Roman" w:eastAsia="Times New Roman" w:hAnsi="Times New Roman"/>
          <w:b/>
          <w:bCs/>
          <w:i w:val="false"/>
          <w:iCs w:val="false"/>
          <w:sz w:val="24"/>
          <w:szCs w:val="24"/>
        </w:rPr>
        <w:t xml:space="preserve">Dr. Siti Suprihatiningsih, M.Pd</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0" w:line="276" w:lineRule="auto"/>
        <w:jc w:val="center"/>
      </w:pPr>
      <w:r>
        <w:rPr>
          <w:rFonts w:ascii="Times New Roman" w:cs="Times New Roman" w:eastAsia="Times New Roman" w:hAnsi="Times New Roman"/>
          <w:b w:val="false"/>
          <w:bCs w:val="false"/>
          <w:i w:val="false"/>
          <w:iCs w:val="false"/>
          <w:sz w:val="24"/>
          <w:szCs w:val="24"/>
        </w:rPr>
        <w:t xml:space="preserve">Program Pemanfaatan Hasil Kelola Dana Abadi Kebudayaan</w:t>
      </w:r>
    </w:p>
    <w:p>
      <w:pPr>
        <w:spacing w:after="80" w:before="0" w:line="276" w:lineRule="auto"/>
        <w:jc w:val="center"/>
      </w:pPr>
      <w:r>
        <w:rPr>
          <w:rFonts w:ascii="Times New Roman" w:cs="Times New Roman" w:eastAsia="Times New Roman" w:hAnsi="Times New Roman"/>
          <w:b w:val="false"/>
          <w:bCs w:val="false"/>
          <w:i w:val="false"/>
          <w:iCs w:val="false"/>
          <w:sz w:val="24"/>
          <w:szCs w:val="24"/>
        </w:rPr>
        <w:t xml:space="preserve">Kementerian Kebudayaan Republik Indonesia</w:t>
      </w:r>
    </w:p>
    <w:p>
      <w:pPr>
        <w:spacing w:after="160" w:before="0" w:line="276" w:lineRule="auto"/>
        <w:jc w:val="center"/>
      </w:pPr>
      <w:r>
        <w:rPr>
          <w:rFonts w:ascii="Times New Roman" w:cs="Times New Roman" w:eastAsia="Times New Roman" w:hAnsi="Times New Roman"/>
          <w:b/>
          <w:bCs/>
          <w:i w:val="false"/>
          <w:iCs w:val="false"/>
          <w:sz w:val="24"/>
          <w:szCs w:val="24"/>
        </w:rPr>
        <w:t xml:space="preserve">Tahun 2025</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HALAMAN IDENTITAS PENGUSUL</w:t>
      </w:r>
    </w:p>
    <w:p>
      <w:pPr>
        <w:spacing w:after="0" w:before="0"/>
      </w:pPr>
      <w:r>
        <w:rPr>
          <w:rFonts w:ascii="Times New Roman" w:cs="Times New Roman" w:eastAsia="Times New Roman" w:hAnsi="Times New Roman"/>
          <w:sz w:val="24"/>
          <w:szCs w:val="24"/>
        </w:rP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5537"/>
      </w:tblGrid>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Judul Kegiatan</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Etnomatematika Siklus Padi Dayak Kanayatn di Landak: Eksplorasi Pengetahuan Tradisional dan Ritus Pertanian</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Kategori Program</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Objek Pemajuan Kebudayaan (OPK) dan Cagar Budaya</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Nama Pengusul</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Dr. Siti Suprihatiningsih, M.Pd</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Jenis Pengusul</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Perseorangan — Sumber Daya Manusia Kebudayaan</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Institusi</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[ISI_NAMA_INSTITUSI]</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Alamat</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[ISI_ALAMAT_LENGKAP]</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Telepon/Seluler</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[ISI_NOMOR_TELEPON]</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Surat Elektronik</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[ISI_EMAIL]</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Lokasi Kegiatan</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Kabupaten Landak, Kalimantan Barat</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Durasi Pelaksanaan</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10 (Sepuluh) Bulan</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Total Anggaran</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Rp 250.000.000,- (Dua Ratus Lima Puluh Juta Rupiah)</w:t>
            </w:r>
          </w:p>
        </w:tc>
      </w:tr>
      <w:tr>
        <w:tc>
          <w:tcPr>
            <w:tcW w:type="dxa" w:w="2400"/>
            <w:tcBorders>
              <w:top w:val="single" w:color="999999" w:sz="1"/>
              <w:left w:val="single" w:color="999999" w:sz="1"/>
              <w:bottom w:val="single" w:color="999999" w:sz="1"/>
              <w:right w:val="single" w:color="999999" w:sz="1"/>
            </w:tcBorders>
            <w:shd w:fill="D6E4F0"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bCs/>
                <w:color w:val="000000"/>
                <w:sz w:val="20"/>
                <w:szCs w:val="20"/>
              </w:rPr>
              <w:t xml:space="preserve">Tema</w:t>
            </w:r>
          </w:p>
        </w:tc>
        <w:tc>
          <w:tcPr>
            <w:tcW w:type="dxa" w:w="55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Pemajuan Kebudayaan yang Inklusif, Harmonis, dan Berkelanjutan</w:t>
            </w:r>
          </w:p>
        </w:tc>
      </w:tr>
    </w:tbl>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val="false"/>
          <w:bCs w:val="false"/>
          <w:i/>
          <w:iCs/>
          <w:sz w:val="24"/>
          <w:szCs w:val="24"/>
        </w:rPr>
        <w:t xml:space="preserve">Dengan mengajukan proposal ini, pengusul menyatakan telah memahami dan bersedia mematuhi seluruh ketentuan Program Pemanfaatan Hasil Kelola Dana Abadi Kebudayaan Tahun 2025 sebagaimana tercantum dalam panduan teknis.</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60" w:before="0" w:line="276" w:lineRule="auto"/>
        <w:jc w:val="right"/>
      </w:pPr>
      <w:r>
        <w:rPr>
          <w:rFonts w:ascii="Times New Roman" w:cs="Times New Roman" w:eastAsia="Times New Roman" w:hAnsi="Times New Roman"/>
          <w:b w:val="false"/>
          <w:bCs w:val="false"/>
          <w:i w:val="false"/>
          <w:iCs w:val="false"/>
          <w:sz w:val="24"/>
          <w:szCs w:val="24"/>
        </w:rPr>
        <w:t xml:space="preserve">[ISI_KOTA], [ISI_TANGGAL] 2025</w:t>
      </w:r>
    </w:p>
    <w:p>
      <w:pPr>
        <w:spacing w:after="160" w:before="0" w:line="276" w:lineRule="auto"/>
        <w:jc w:val="right"/>
      </w:pPr>
      <w:r>
        <w:rPr>
          <w:rFonts w:ascii="Times New Roman" w:cs="Times New Roman" w:eastAsia="Times New Roman" w:hAnsi="Times New Roman"/>
          <w:b w:val="false"/>
          <w:bCs w:val="false"/>
          <w:i w:val="false"/>
          <w:iCs w:val="false"/>
          <w:sz w:val="24"/>
          <w:szCs w:val="24"/>
        </w:rPr>
        <w:t xml:space="preserve">Pengusul,</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60" w:before="0" w:line="276" w:lineRule="auto"/>
        <w:jc w:val="right"/>
      </w:pPr>
      <w:r>
        <w:rPr>
          <w:rFonts w:ascii="Times New Roman" w:cs="Times New Roman" w:eastAsia="Times New Roman" w:hAnsi="Times New Roman"/>
          <w:b w:val="false"/>
          <w:bCs w:val="false"/>
          <w:i w:val="false"/>
          <w:iCs w:val="false"/>
          <w:sz w:val="24"/>
          <w:szCs w:val="24"/>
        </w:rPr>
        <w:t xml:space="preserve">Dr. Siti Suprihatiningsih, M.Pd</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DAFTAR ISI</w:t>
      </w:r>
    </w:p>
    <w:p>
      <w:pPr>
        <w:spacing w:after="0" w:before="0"/>
      </w:pPr>
      <w:r>
        <w:rPr>
          <w:rFonts w:ascii="Times New Roman" w:cs="Times New Roman" w:eastAsia="Times New Roman" w:hAnsi="Times New Roman"/>
          <w:sz w:val="24"/>
          <w:szCs w:val="24"/>
        </w:rPr>
        <w:t xml:space="preserve"/>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BAB I
PENDAHULUAN</w:t>
      </w:r>
    </w:p>
    <w:p>
      <w:pPr>
        <w:pStyle w:val="Heading2"/>
        <w:spacing w:after="140" w:before="280" w:line="276" w:lineRule="auto"/>
        <w:jc w:val="left"/>
      </w:pPr>
      <w:r>
        <w:rPr>
          <w:rFonts w:ascii="Times New Roman" w:cs="Times New Roman" w:eastAsia="Times New Roman" w:hAnsi="Times New Roman"/>
          <w:b/>
          <w:bCs/>
          <w:sz w:val="24"/>
          <w:szCs w:val="24"/>
        </w:rPr>
        <w:t xml:space="preserve">A. Latar Belakang</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Urgensi dokumentasi pengetahuan tradisional semakin meningkat seiring derasnya arus modernisasi dan transformasi sosial yang mengancam kelestarian kekayaan intelektual lokal sebelum sempat dicatat secara sistematis (Barton, 1996; Jannah et al., 2025; Owens, 2015). Masyarakat Dayak Kanayatn merupakan salah satu sub-suku Dayak terbesar di Kalimantan Barat yang bermukim di wilayah Kabupaten Landak dan sekitarnya (Chandra et al., 2022; Syam et al., 2024). Praktik pertanian padi ladang (Nguma) menjadi inti kehidupan sosial, spiritual, dan ekonomi komunitas ini (Baging et al., 2019; Yulianto et al., 2025). Siklus padi tidak semata-mata menyangkut aktivitas agrikultur, melainkan merupakan sistem pengetahuan holistik yang mencakup ritus adat seperti Naik Dango (syukuran panen) dan Babari (gotong royong pertanian), serta berbagai pantang larang dan penanda waktu yang berfungsi sebagai kalender pertanian (Bahri &amp; Lestari, 2022; Wahyuni et al., 2013). Setiap tahap siklus padi diiringi prosesi adat yang sarat makna sosial-kultural, yang berfungsi memperkuat kohesi komunitas dan hubungan manusia dengan alam (Herlina et al., 2024).</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Praktik pertanian yang tampak sederhana tersebut menyimpan sistem pengetahuan yang kaya akan dimensi matematis (Ascher &amp; Ascher, 1986; Bishop, 1988; Linling &amp; Nuryadi, 2022). Dalam praktik tugal (penanaman benih), petani Dayak Kanayatn menerapkan sistem perhitungan jumlah benih per lubang yang konsisten dan terstandar secara komunal; sementara penentuan waktu tanam bergantung pada pengamatan posisi rasi bintang tertentu yang membentuk sistem kalender astronomi lokal (Sister &amp; Liliana, 2025). Pola tata ruang ladang, estimasi hasil panen, dan pembagian kerja berbasis sistem bilangan lokal merupakan bukti nyata kehadiran matematika secara implisit dalam kehidupan sehari-hari komunitas ini (D'Ambrosio, 1985; Orey &amp; Rosa, 2006). Simbolisme geometris pada motif anyaman, ukiran, dan perlengkapan ritus juga mengandung representasi matematis yang hingga kini belum pernah dikaji secara sistematis dalam kerangka etnomatematika (Gerdes, 1994; Rosa &amp; Orey, 2011; Supiyati et al., 2019).</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Penelitian terdahulu mengenai komunitas Dayak di Kalimantan Barat, antara lain kajian Hartoyo (2012) tentang Dayak perbatasan di Kabupaten Sanggau dan Arkanudin (2024) tentang Dayak di Kabupaten Sintang, membuktikan bahwa tradisi matematis masyarakat Dayak mengandung kekayaan yang layak diteliti. Namun hingga saat ini belum ada kajian yang secara khusus mengintegrasikan perspektif etnomatematika dengan dokumentasi ritus pertanian masyarakat Dayak Kanayatn di Kabupaten Landak secara menyeluruh. Pengetahuan tradisional ini terancam punah seiring wafatnya para tetua adat, sementara generasi muda kian jarang terlibat dalam praktik tradisional (Rowlands &amp; Carson, 2002; Vithal &amp; Skovsmose, 1997). Hilangnya pengetahuan ini tidak hanya merupakan kerugian bagi komunitas, tetapi juga bagi perkembangan ilmu pengetahuan dalam kajian matematika lintas budaya dan etnopedagogi (Francois, 2010; Knijnik, 2012; Presmeg, 1998).</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Penelitian ini secara langsung memberikan kontribusi terhadap penguatan Data Pokok Kebudayaan Indonesia, terutama dalam kategori pengetahuan tradisional dan sistem kepercayaan, sejalan dengan tujuan Program Dana Indonesiana yang mendorong kodifikasi pengetahuan OPK dan penelitian etnografi masyarakat lokal. Relevansi kebijakan juga tercermin dalam potensi integrasi temuan ke dalam kurikulum muatan lokal sesuai amanat kebijakan pendidikan berbasis kearifan lokal (Prahmana &amp; D'Ambrosio, 2020; Risdiyanti &amp; Prahmana, 2020).</w:t>
      </w:r>
    </w:p>
    <w:p>
      <w:pPr>
        <w:pStyle w:val="Heading2"/>
        <w:spacing w:after="140" w:before="280" w:line="276" w:lineRule="auto"/>
        <w:jc w:val="left"/>
      </w:pPr>
      <w:r>
        <w:rPr>
          <w:rFonts w:ascii="Times New Roman" w:cs="Times New Roman" w:eastAsia="Times New Roman" w:hAnsi="Times New Roman"/>
          <w:b/>
          <w:bCs/>
          <w:sz w:val="24"/>
          <w:szCs w:val="24"/>
        </w:rPr>
        <w:t xml:space="preserve">B. Rasional</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Kajian ini dilandaskan pada empat rasional utama. Pertama, rasional akademik: etnomatematika sebagai bidang ilmu yang dikembangkan D'Ambrosio (1985) dan Bishop (1988) menegaskan bahwa setiap komunitas budaya memiliki praktik matematis unik yang perlu didokumentasikan. Dayak Kanayatn, dengan sistem pertanian ladang yang kaya dimensi matematis, merupakan objek kajian yang sangat relevan namun belum pernah dikaji secara komprehensif.</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Kedua, rasional pelestarian: masyarakat Dayak Kanayatn di Kabupaten Landak menghadapi tekanan modernisasi yang intens. Praktik siklus padi tradisional semakin tergeser oleh metode pertanian modern dan konversi lahan. Tanpa dokumentasi yang sistematis, pengetahuan matematis yang tersimpan dalam tradisi ini berisiko hilang selamanya (Gavin et al., 2015).</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Ketiga, rasional kebijakan: Undang-Undang No. 5 Tahun 2017 tentang Pemajuan Kebudayaan mengamanatkan perlindungan, pengembangan, dan pemanfaatan OPK. Program Dana Indonesiana hadir sebagai instrumen kebijakan untuk mendorong realisasi amanat ini melalui kajian-kajian yang diinisiasi oleh masyarakat. Kajian ini menjadi respons langsung atas amanat tersebut.</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Keempat, rasional pendidikan: tersedianya data etnomatematika Dayak Kanayatn yang tervalidasi secara ilmiah membuka peluang nyata bagi pengembangan kurikulum muatan lokal yang substantif di sekolah-sekolah Kabupaten Landak, sejalan dengan semangat pendidikan berbasis kearifan lokal (Wahyuni et al., 2013; Zaenuri &amp; Dwidayati, 2018).</w:t>
      </w:r>
    </w:p>
    <w:p>
      <w:pPr>
        <w:pStyle w:val="Heading2"/>
        <w:spacing w:after="140" w:before="280" w:line="276" w:lineRule="auto"/>
        <w:jc w:val="left"/>
      </w:pPr>
      <w:r>
        <w:rPr>
          <w:rFonts w:ascii="Times New Roman" w:cs="Times New Roman" w:eastAsia="Times New Roman" w:hAnsi="Times New Roman"/>
          <w:b/>
          <w:bCs/>
          <w:sz w:val="24"/>
          <w:szCs w:val="24"/>
        </w:rPr>
        <w:t xml:space="preserve">C. Perumusan Masalah</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Berdasarkan latar belakang dan rasional yang telah diuraikan, kajian ini dirumuskan untuk menjawab empat pertanyaan penelitian berikut:</w:t>
      </w:r>
    </w:p>
    <w:p>
      <w:pPr>
        <w:pStyle w:val="ListParagraph"/>
        <w:numPr>
          <w:ilvl w:val="0"/>
          <w:numId w:val="2"/>
        </w:numPr>
        <w:spacing w:after="80" w:before="0" w:line="276" w:lineRule="auto"/>
        <w:jc w:val="both"/>
      </w:pPr>
      <w:r>
        <w:rPr>
          <w:rFonts w:ascii="Times New Roman" w:cs="Times New Roman" w:eastAsia="Times New Roman" w:hAnsi="Times New Roman"/>
          <w:sz w:val="24"/>
          <w:szCs w:val="24"/>
        </w:rPr>
        <w:t xml:space="preserve">Konsep-konsep matematis apa saja—mencakup sistem bilangan, pengukuran, geometri, pola, dan logika—yang terkandung dalam praktik pertanian padi tradisional dan ritus siklus padi masyarakat Dayak Kanayatn di Kabupaten Landak?</w:t>
      </w:r>
    </w:p>
    <w:p>
      <w:pPr>
        <w:pStyle w:val="ListParagraph"/>
        <w:numPr>
          <w:ilvl w:val="0"/>
          <w:numId w:val="2"/>
        </w:numPr>
        <w:spacing w:after="80" w:before="0" w:line="276" w:lineRule="auto"/>
        <w:jc w:val="both"/>
      </w:pPr>
      <w:r>
        <w:rPr>
          <w:rFonts w:ascii="Times New Roman" w:cs="Times New Roman" w:eastAsia="Times New Roman" w:hAnsi="Times New Roman"/>
          <w:sz w:val="24"/>
          <w:szCs w:val="24"/>
        </w:rPr>
        <w:t xml:space="preserve">Bagaimana sistem kalender pertanian tradisional Dayak Kanayatn distrukturisasi secara matematis dan astronomi lokal dalam menentukan siklus tanam hingga panen?</w:t>
      </w:r>
    </w:p>
    <w:p>
      <w:pPr>
        <w:pStyle w:val="ListParagraph"/>
        <w:numPr>
          <w:ilvl w:val="0"/>
          <w:numId w:val="2"/>
        </w:numPr>
        <w:spacing w:after="80" w:before="0" w:line="276" w:lineRule="auto"/>
        <w:jc w:val="both"/>
      </w:pPr>
      <w:r>
        <w:rPr>
          <w:rFonts w:ascii="Times New Roman" w:cs="Times New Roman" w:eastAsia="Times New Roman" w:hAnsi="Times New Roman"/>
          <w:sz w:val="24"/>
          <w:szCs w:val="24"/>
        </w:rPr>
        <w:t xml:space="preserve">Bagaimana mekanisme transmisi pengetahuan etnomatematika siklus padi antargenerasi berlangsung dalam komunitas Dayak Kanayatn, termasuk metode, media, dan aktor kuncinya?</w:t>
      </w:r>
    </w:p>
    <w:p>
      <w:pPr>
        <w:pStyle w:val="ListParagraph"/>
        <w:numPr>
          <w:ilvl w:val="0"/>
          <w:numId w:val="2"/>
        </w:numPr>
        <w:spacing w:after="80" w:before="0" w:line="276" w:lineRule="auto"/>
        <w:jc w:val="both"/>
      </w:pPr>
      <w:r>
        <w:rPr>
          <w:rFonts w:ascii="Times New Roman" w:cs="Times New Roman" w:eastAsia="Times New Roman" w:hAnsi="Times New Roman"/>
          <w:sz w:val="24"/>
          <w:szCs w:val="24"/>
        </w:rPr>
        <w:t xml:space="preserve">Bagaimana potensi integrasi konsep etnomatematika yang teridentifikasi ke dalam pembelajaran matematika berbasis kearifan lokal di sekolah dasar Kabupaten Landak?</w:t>
      </w:r>
    </w:p>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D. Kontribusi Kegiatan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Secara akademik, kajian ini mengisi kesenjangan literatur etnomatematika pada komunitas Dayak Kanayatn yang belum pernah dikaji secara menyeluruh dalam kaitannya dengan ritus pertanian. Temuan kajian memperkaya khazanah matematika lintas budaya dan membuka jalur penelitian interdisipliner yang menghubungkan matematika, antropologi, dan linguistik (Francois, 2010; Presmeg, 1998).</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Dari sisi kebijakan kebudayaan, kajian ini berkontribusi langsung pada tiga Objek Pemajuan Kebudayaan: Pengetahuan Tradisional, Teknologi Tradisional, dan Ritus, sebagaimana ditetapkan dalam UU No. 5 Tahun 2017. Hasil kajian memperkuat Data Pokok Kebudayaan Indonesia dengan data terstruktur dari komunitas Dayak Kanayatn yang selama ini belum terwakili.</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Secara sosial-budaya, proses penelitian partisipatif berfungsi ganda sebagai mekanisme transmisi pengetahuan: pelibatan pemuda adat sebagai asisten peneliti sekaligus menjadi proses pembelajaran dan penguatan identitas budaya. Policy brief yang dihasilkan memberikan landasan empiris untuk advokasi kebijakan muatan lokal di sekolah-sekolah Kabupaten Landak.</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BAB II
KONSEP KEGIATAN</w:t>
      </w:r>
    </w:p>
    <w:p>
      <w:pPr>
        <w:pStyle w:val="Heading2"/>
        <w:spacing w:after="140" w:before="280" w:line="276" w:lineRule="auto"/>
        <w:jc w:val="left"/>
      </w:pPr>
      <w:r>
        <w:rPr>
          <w:rFonts w:ascii="Times New Roman" w:cs="Times New Roman" w:eastAsia="Times New Roman" w:hAnsi="Times New Roman"/>
          <w:b/>
          <w:bCs/>
          <w:sz w:val="24"/>
          <w:szCs w:val="24"/>
        </w:rPr>
        <w:t xml:space="preserve">A. Gambaran Kegiatan yang Akan Dilaksanakan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Kajian ini merupakan penelitian etnomatematika berbasis lapangan yang dilaksanakan selama 10 bulan di Kabupaten Landak, Kalimantan Barat. Menggunakan pendekatan etnografi partisipatif yang dipadukan dengan kerangka analisis etnomatematika Bishop (1988), kajian ini mendokumentasikan, menganalisis, dan mempublikasikan pengetahuan matematis yang tersimpan dalam praktik dan ritus siklus padi masyarakat Dayak Kanayatn. Komunitas berperan sebagai mitra aktif dalam seluruh proses, mulai dari pemberian akses hingga validasi temuan (Creswell &amp; Poth, 2018).</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Kajian berfokus pada empat domain utama: (1) sistem bilangan dan penghitungan lokal dalam praktik tugal dan pembagian hasil panen; (2) sistem pengukuran lahan tradisional dengan satuan non-standar khas Dayak Kanayatn; (3) pola geometris pada motif anyaman, ukiran artefak ritus, dan tata ruang ladang; serta (4) kalender pertanian berbasis astronomi lokal yang menghubungkan posisi rasi bintang dengan siklus tanam hingga panen (Sister &amp; Liliana, 2025; Linling &amp; Nuryadi, 2022). Analisis menggunakan enam kategori aktivitas matematis universal Bishop (1988): membilang, menempatkan, mengukur, merancang, bermain, dan menjelaskan.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Kegiatan lapangan dirancang dalam enam fase: (1) persiapan administrasi dan perizinan adat; (2) survei pendahuluan dan pemetaan informan; (3) pengumpulan data intensif melalui observasi partisipatif, wawancara semi-terstruktur, FGD, dokumentasi audiovisual, dan pengumpulan artefak nonsensitif; (4) transkripsi, koding, dan analisis etnomatematika; (5) validasi komunitas melalui member checking; serta (6) produksi naskah akademik, video dokumenter, dan seminar diseminasi.</w:t>
      </w:r>
    </w:p>
    <w:p>
      <w:pPr>
        <w:pStyle w:val="Heading2"/>
        <w:spacing w:after="140" w:before="280" w:line="276" w:lineRule="auto"/>
        <w:jc w:val="left"/>
      </w:pPr>
      <w:r>
        <w:rPr>
          <w:rFonts w:ascii="Times New Roman" w:cs="Times New Roman" w:eastAsia="Times New Roman" w:hAnsi="Times New Roman"/>
          <w:b/>
          <w:bCs/>
          <w:sz w:val="24"/>
          <w:szCs w:val="24"/>
        </w:rPr>
        <w:t xml:space="preserve">B. Sasaran Kegiatan</w:t>
      </w:r>
    </w:p>
    <w:p>
      <w:pPr>
        <w:spacing w:after="160" w:before="0" w:line="276" w:lineRule="auto"/>
        <w:jc w:val="both"/>
      </w:pPr>
      <w:r>
        <w:rPr>
          <w:rFonts w:ascii="Times New Roman" w:cs="Times New Roman" w:eastAsia="Times New Roman" w:hAnsi="Times New Roman"/>
          <w:b/>
          <w:bCs/>
          <w:i w:val="false"/>
          <w:iCs w:val="false"/>
          <w:sz w:val="24"/>
          <w:szCs w:val="24"/>
        </w:rPr>
        <w:t xml:space="preserve">Sasaran Langsung:</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Komunitas petani Dayak Kanayatn yang masih aktif menjalankan siklus padi tradisional (diperkirakan 60–80 orang terlibat aktif dalam berbagai fase)</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Tetua adat sebagai penjaga utama pengetahuan lokal (minimal 10 narasumber kunci)</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Pemimpin ritual (Baliatn) sebagai pemegang otoritas pengetahuan ritus</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Pemuda adat usia 17–30 tahun sebagai asisten peneliti dan penerima manfaat transmisi pengetahuan</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Sasaran Tidak Langsung:</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Akademisi di bidang etnomatematika, pendidikan matematika, dan antropologi budaya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Dinas Kebudayaan dan Pariwisata Kabupaten Landak selaku penerima policy brief</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Dinas Pendidikan Kabupaten Landak untuk jalur integrasi ke kurikulum muatan lokal</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Sekolah dasar dan menengah yang berminat mengembangkan pembelajaran berbasis kearifan lokal Dayak Kanayatn</w:t>
      </w:r>
    </w:p>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C. Tujuan Kegiatan</w:t>
      </w:r>
    </w:p>
    <w:p>
      <w:pPr>
        <w:spacing w:after="160" w:before="0" w:line="276" w:lineRule="auto"/>
        <w:jc w:val="both"/>
      </w:pPr>
      <w:r>
        <w:rPr>
          <w:rFonts w:ascii="Times New Roman" w:cs="Times New Roman" w:eastAsia="Times New Roman" w:hAnsi="Times New Roman"/>
          <w:b/>
          <w:bCs/>
          <w:i w:val="false"/>
          <w:iCs w:val="false"/>
          <w:sz w:val="24"/>
          <w:szCs w:val="24"/>
        </w:rPr>
        <w:t xml:space="preserve">Tujuan Umum:</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Mendokumentasikan dan menganalisis secara komprehensif aspek-aspek etnomatematika dalam siklus padi masyarakat Dayak Kanayatn di Kabupaten Landak sebagai kontribusi nyata terhadap kodifikasi OPK Indonesia yang inklusif dan berkelanjutan.</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Tujuan Khusus (SMART):</w:t>
      </w:r>
    </w:p>
    <w:p>
      <w:pPr>
        <w:pStyle w:val="ListParagraph"/>
        <w:numPr>
          <w:ilvl w:val="0"/>
          <w:numId w:val="4"/>
        </w:numPr>
        <w:spacing w:after="80" w:before="0" w:line="276" w:lineRule="auto"/>
        <w:jc w:val="both"/>
      </w:pPr>
      <w:r>
        <w:rPr>
          <w:rFonts w:ascii="Times New Roman" w:cs="Times New Roman" w:eastAsia="Times New Roman" w:hAnsi="Times New Roman"/>
          <w:sz w:val="24"/>
          <w:szCs w:val="24"/>
        </w:rPr>
        <w:t xml:space="preserve">Mengidentifikasi dan mendokumentasikan minimal 20 konsep matematis yang terpetakan ke dalam kerangka Bishop melalui minimal 15 sesi wawancara mendalam dan 4 sesi FGD dalam 5 bulan pengumpulan data.</w:t>
      </w:r>
    </w:p>
    <w:p>
      <w:pPr>
        <w:pStyle w:val="ListParagraph"/>
        <w:numPr>
          <w:ilvl w:val="0"/>
          <w:numId w:val="4"/>
        </w:numPr>
        <w:spacing w:after="80" w:before="0" w:line="276" w:lineRule="auto"/>
        <w:jc w:val="both"/>
      </w:pPr>
      <w:r>
        <w:rPr>
          <w:rFonts w:ascii="Times New Roman" w:cs="Times New Roman" w:eastAsia="Times New Roman" w:hAnsi="Times New Roman"/>
          <w:sz w:val="24"/>
          <w:szCs w:val="24"/>
        </w:rPr>
        <w:t xml:space="preserve">Mendokumentasikan sistem kalender pertanian tradisional Dayak Kanayatn secara lengkap, mencakup nama-nama periode musim, indikator astronomi dan ekologi, serta korespondensinya dengan kalender Gregorian, pada bulan ke-7.</w:t>
      </w:r>
    </w:p>
    <w:p>
      <w:pPr>
        <w:pStyle w:val="ListParagraph"/>
        <w:numPr>
          <w:ilvl w:val="0"/>
          <w:numId w:val="4"/>
        </w:numPr>
        <w:spacing w:after="80" w:before="0" w:line="276" w:lineRule="auto"/>
        <w:jc w:val="both"/>
      </w:pPr>
      <w:r>
        <w:rPr>
          <w:rFonts w:ascii="Times New Roman" w:cs="Times New Roman" w:eastAsia="Times New Roman" w:hAnsi="Times New Roman"/>
          <w:sz w:val="24"/>
          <w:szCs w:val="24"/>
        </w:rPr>
        <w:t xml:space="preserve">Menganalisis mekanisme transmisi pengetahuan etnomatematika antargenerasi melalui perwakilan minimal tiga kelompok usia pada bulan ke-6 hingga ke-7.</w:t>
      </w:r>
    </w:p>
    <w:p>
      <w:pPr>
        <w:pStyle w:val="ListParagraph"/>
        <w:numPr>
          <w:ilvl w:val="0"/>
          <w:numId w:val="4"/>
        </w:numPr>
        <w:spacing w:after="80" w:before="0" w:line="276" w:lineRule="auto"/>
        <w:jc w:val="both"/>
      </w:pPr>
      <w:r>
        <w:rPr>
          <w:rFonts w:ascii="Times New Roman" w:cs="Times New Roman" w:eastAsia="Times New Roman" w:hAnsi="Times New Roman"/>
          <w:sz w:val="24"/>
          <w:szCs w:val="24"/>
        </w:rPr>
        <w:t xml:space="preserve">Menghasilkan 1 naskah akademik siap submit ke jurnal SINTA 1–3 dan 1 policy brief pada bulan ke-9.</w:t>
      </w:r>
    </w:p>
    <w:p>
      <w:pPr>
        <w:pStyle w:val="ListParagraph"/>
        <w:numPr>
          <w:ilvl w:val="0"/>
          <w:numId w:val="4"/>
        </w:numPr>
        <w:spacing w:after="80" w:before="0" w:line="276" w:lineRule="auto"/>
        <w:jc w:val="both"/>
      </w:pPr>
      <w:r>
        <w:rPr>
          <w:rFonts w:ascii="Times New Roman" w:cs="Times New Roman" w:eastAsia="Times New Roman" w:hAnsi="Times New Roman"/>
          <w:sz w:val="24"/>
          <w:szCs w:val="24"/>
        </w:rPr>
        <w:t xml:space="preserve">Melaksanakan 1 seminar diseminasi terbuka beserta pameran dokumentasi dengan minimal 80 peserta pada bulan ke-10.</w:t>
      </w:r>
    </w:p>
    <w:p>
      <w:pPr>
        <w:pStyle w:val="ListParagraph"/>
        <w:numPr>
          <w:ilvl w:val="0"/>
          <w:numId w:val="4"/>
        </w:numPr>
        <w:spacing w:after="80" w:before="0" w:line="276" w:lineRule="auto"/>
        <w:jc w:val="both"/>
      </w:pPr>
      <w:r>
        <w:rPr>
          <w:rFonts w:ascii="Times New Roman" w:cs="Times New Roman" w:eastAsia="Times New Roman" w:hAnsi="Times New Roman"/>
          <w:sz w:val="24"/>
          <w:szCs w:val="24"/>
        </w:rPr>
        <w:t xml:space="preserve">Mendaftarkan hasil kajian untuk mendapatkan Surat Pencatatan Ciptaan dari Ditjen KI Kemenkumham RI pada bulan ke-10.</w:t>
      </w:r>
    </w:p>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D. Hasil yang Diharapkan</w:t>
      </w:r>
    </w:p>
    <w:p>
      <w:pPr>
        <w:spacing w:after="160" w:before="0" w:line="276" w:lineRule="auto"/>
        <w:jc w:val="both"/>
      </w:pPr>
      <w:r>
        <w:rPr>
          <w:rFonts w:ascii="Times New Roman" w:cs="Times New Roman" w:eastAsia="Times New Roman" w:hAnsi="Times New Roman"/>
          <w:b/>
          <w:bCs/>
          <w:i w:val="false"/>
          <w:iCs w:val="false"/>
          <w:sz w:val="24"/>
          <w:szCs w:val="24"/>
        </w:rPr>
        <w:t xml:space="preserve">Output Kajian OPK-CB (80% anggaran):</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Naskah akademik/buku: Etnomatematika Siklus Padi Dayak Kanayatn — Dokumentasi Pengetahuan Tradisional dan Ritus Pertanian di Kabupaten Landak</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Minimal 1 artikel jurnal terakreditasi SINTA 1–3 atau jurnal internasional terindeks Scopus</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Arsip digital audio-visual terverifikasi komunitas (rekaman wawancara, video ritus, foto etnografis)</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Monograf ringkas berbahasa populer untuk komunitas</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Policy brief berbasis bukti empiris untuk Dinas Kebudayaan dan Dinas Pendidikan Kabupaten Landak</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Output Diseminasi Karya (20% anggaran):</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Seminar hasil kajian terbuka dengan peserta dari komunitas, akademisi, dan pemda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Pameran dokumentasi etnomatematika (foto, video, artefak replika)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Video dokumenter 15–20 menit untuk lembaga adat dan Dinasbudpar</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Surat Pencatatan Ciptaan dari Ditjen Kekayaan Intelektual Kemenkumham RI</w:t>
      </w:r>
    </w:p>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E. Pihak-Pihak yang Akan Diajak Bekerja Sama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3037"/>
      </w:tblGrid>
      <w:tr>
        <w:tc>
          <w:tcPr>
            <w:tcW w:type="dxa" w:w="26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Mitra</w:t>
            </w:r>
          </w:p>
        </w:tc>
        <w:tc>
          <w:tcPr>
            <w:tcW w:type="dxa" w:w="23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Peran</w:t>
            </w:r>
          </w:p>
        </w:tc>
        <w:tc>
          <w:tcPr>
            <w:tcW w:type="dxa" w:w="3037"/>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Bentuk Kerja Sama</w:t>
            </w:r>
          </w:p>
        </w:tc>
      </w:tr>
      <w:tr>
        <w:tc>
          <w:tcPr>
            <w:tcW w:type="dxa" w:w="26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Dewan Adat Dayak Kanayatn Kab. Landak</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Fasilitasi perizinan adat dan akses komunitas</w:t>
            </w:r>
          </w:p>
        </w:tc>
        <w:tc>
          <w:tcPr>
            <w:tcW w:type="dxa" w:w="30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MoU; rekomendasi narasumber; validasi hasil</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Dinas Kebudayaan dan Pariwisata Kab. Landak</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Mitra kebijakan; legitimasi riset daerah</w:t>
            </w:r>
          </w:p>
        </w:tc>
        <w:tc>
          <w:tcPr>
            <w:tcW w:type="dxa" w:w="30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Surat dukungan; distribusi policy brief</w:t>
            </w:r>
          </w:p>
        </w:tc>
      </w:tr>
      <w:tr>
        <w:tc>
          <w:tcPr>
            <w:tcW w:type="dxa" w:w="26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Dinas Pendidikan Kabupaten Landak</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Jalur integrasi ke kurikulum muatan lokal</w:t>
            </w:r>
          </w:p>
        </w:tc>
        <w:tc>
          <w:tcPr>
            <w:tcW w:type="dxa" w:w="30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Koordinasi workshop guru; uji coba bahan ajar</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[ISI_NAMA_PT] — Dept. Pend. Matematika</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Peer-review metodologi dan analisis akademik</w:t>
            </w:r>
          </w:p>
        </w:tc>
        <w:tc>
          <w:tcPr>
            <w:tcW w:type="dxa" w:w="30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Reviewer naskah; co-author artikel jurnal</w:t>
            </w:r>
          </w:p>
        </w:tc>
      </w:tr>
      <w:tr>
        <w:tc>
          <w:tcPr>
            <w:tcW w:type="dxa" w:w="26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Komunitas Petani, Tetua Adat, dan Baliatn</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Narasumber kunci dan co-researcher</w:t>
            </w:r>
          </w:p>
        </w:tc>
        <w:tc>
          <w:tcPr>
            <w:tcW w:type="dxa" w:w="30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Wawancara; FGD; validasi; diseminasi bersama</w:t>
            </w:r>
          </w:p>
        </w:tc>
      </w:tr>
    </w:tbl>
    <w:p>
      <w:pPr>
        <w:spacing w:after="0" w:before="0"/>
      </w:pPr>
      <w:r>
        <w:rPr>
          <w:rFonts w:ascii="Times New Roman" w:cs="Times New Roman" w:eastAsia="Times New Roman" w:hAnsi="Times New Roman"/>
          <w:sz w:val="24"/>
          <w:szCs w:val="24"/>
        </w:rPr>
        <w:t xml:space="preserve"/>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BAB III
URGENSI DAN NILAI STRATEGIS</w:t>
      </w:r>
    </w:p>
    <w:p>
      <w:pPr>
        <w:pStyle w:val="Heading2"/>
        <w:spacing w:after="140" w:before="280" w:line="276" w:lineRule="auto"/>
        <w:jc w:val="left"/>
      </w:pPr>
      <w:r>
        <w:rPr>
          <w:rFonts w:ascii="Times New Roman" w:cs="Times New Roman" w:eastAsia="Times New Roman" w:hAnsi="Times New Roman"/>
          <w:b/>
          <w:bCs/>
          <w:sz w:val="24"/>
          <w:szCs w:val="24"/>
        </w:rPr>
        <w:t xml:space="preserve">A. Urgensi Pelaksanaan Kegiatan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Kepunahan pengetahuan tradisional merupakan fenomena nyata yang berlangsung dengan kecepatan mengkhawatirkan. Di komunitas Dayak Kanayatn, percepatan modernisasi, migrasi generasi muda ke perkotaan, dan penetrasi teknologi pertanian konvensional telah menyebabkan terputusnya rantai transmisi pengetahuan antargenerasi secara signifikan. Para tetua adat yang menjadi penjaga utama pengetahuan siklus padi semakin sedikit, sementara pengetahuan yang mereka miliki bersifat tacit—tersimpan dalam ingatan, praktik tubuh, dan narasi lisan, bukan dalam teks tertulis (Rowlands &amp; Carson, 2002; Vithal &amp; Skovsmose, 1997). Hilangnya satu tetua adat dapat berarti hilangnya satu sistem pengetahuan yang tidak mungkin direkonstruksi kembali.</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Program Dana Indonesiana secara eksplisit mendorong "kodifikasi berbagai pengetahuan terkait OPK dan CB Indonesia untuk memperkuat saintifikasi elemen-elemen kebudayaan Indonesia." Kajian ini menjawab langsung amanat tersebut: pengetahuan etnomatematika yang selama ini hanya hidup dalam praktik komunal akan ditransformasi menjadi pengetahuan eksplisit yang terdokumentasi, terstruktur, dan dapat diverifikasi secara ilmiah. Tanpa intervensi seperti ini, pengetahuan tersebut berisiko hilang permanen—sebuah kerugian yang tidak dapat dipulihkan bagi komunitas maupun ilmu pengetahuan (Gavin et al., 2015).</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Dari perspektif data nasional, belum ada entri Dayak Kanayatn Kabupaten Landak dalam Data Pokok Kebudayaan Indonesia (Dapobud) untuk kategori pengetahuan tradisional pertanian. Kekosongan ini mencerminkan kesenjangan serius dalam dokumentasi kebudayaan nasional yang perlu segera dipenuhi.</w:t>
      </w:r>
    </w:p>
    <w:p>
      <w:pPr>
        <w:pStyle w:val="Heading2"/>
        <w:spacing w:after="140" w:before="280" w:line="276" w:lineRule="auto"/>
        <w:jc w:val="left"/>
      </w:pPr>
      <w:r>
        <w:rPr>
          <w:rFonts w:ascii="Times New Roman" w:cs="Times New Roman" w:eastAsia="Times New Roman" w:hAnsi="Times New Roman"/>
          <w:b/>
          <w:bCs/>
          <w:sz w:val="24"/>
          <w:szCs w:val="24"/>
        </w:rPr>
        <w:t xml:space="preserve">B. Nilai Strategis Kegiatan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Secara akademik, kajian ini memberikan kontribusi orisinal pada tiga bidang keilmuan: etnomatematika, etnografi dan antropologi Kalimantan, serta pendidikan matematika berbasis budaya. Kajian ini menghasilkan data empiris baru yang memperkuat argumen tentang universalitas matematika sekaligus kekhasan ekspresi kulturalnya (D'Ambrosio, 2001; Rosa &amp; Orey, 2011), sekaligus menyediakan data primer siap pakai sebagai fondasi pengembangan pembelajaran kontekstual yang autentik (Prahmana &amp; D'Ambrosio, 2020; Risdiyanti &amp; Prahmana, 2020).</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Secara kebijakan, kajian ini menghasilkan dua produk konkret: policy brief untuk Dinas Kebudayaan terkait pengakuan dan perlindungan pengetahuan tradisional Dayak Kanayatn, serta rekomendasi bagi Dinas Pendidikan mengenai integrasi etnomatematika ke dalam kurikulum muatan lokal. Kedua produk ini berlandaskan data empiris yang kuat, berbeda dengan rekomendasi kebijakan yang sering kali bersifat normatif.</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Aspek kebaruan (novelty) kajian ini terletak pada: (1) integrasi perspektif etnomatematika dengan seluruh siklus ritus pertanian padi Dayak Kanayatn secara komprehensif—belum pernah dilakukan sebelumnya; (2) penggunaan kerangka Bishop (1988) secara menyeluruh untuk memetakan praktik budaya; serta (3) pendekatan partisipatif penuh yang menempatkan komunitas sebagai co-researcher. Kajian-kajian terdahulu (Hartoyo, 2012; Linling &amp; Nuryadi, 2022; Sister &amp; Liliana, 2025) masing-masing hanya mengkaji satu aspek parsial dari sistem pengetahuan yang jauh lebih luas ini (Meaney et al., 2013).</w:t>
      </w:r>
    </w:p>
    <w:p>
      <w:pPr>
        <w:pStyle w:val="Heading2"/>
        <w:spacing w:after="140" w:before="280" w:line="276" w:lineRule="auto"/>
        <w:jc w:val="left"/>
      </w:pPr>
      <w:r>
        <w:rPr>
          <w:rFonts w:ascii="Times New Roman" w:cs="Times New Roman" w:eastAsia="Times New Roman" w:hAnsi="Times New Roman"/>
          <w:b/>
          <w:bCs/>
          <w:sz w:val="24"/>
          <w:szCs w:val="24"/>
        </w:rPr>
        <w:t xml:space="preserve">C. Keluaran, Hasil, Dampak, dan Manfaat</w:t>
      </w:r>
    </w:p>
    <w:p>
      <w:pPr>
        <w:spacing w:after="160" w:before="0" w:line="276" w:lineRule="auto"/>
        <w:jc w:val="both"/>
      </w:pPr>
      <w:r>
        <w:rPr>
          <w:rFonts w:ascii="Times New Roman" w:cs="Times New Roman" w:eastAsia="Times New Roman" w:hAnsi="Times New Roman"/>
          <w:b/>
          <w:bCs/>
          <w:i w:val="false"/>
          <w:iCs w:val="false"/>
          <w:sz w:val="24"/>
          <w:szCs w:val="24"/>
        </w:rPr>
        <w:t xml:space="preserve">Keluaran (Output):</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Naskah akademik/buku etnomatematika Dayak Kanayatn — kajian OPK-CB</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Minimal 1 artikel jurnal terakreditasi SINTA 1–3</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Arsip digital audio-visual terverifikasi komunitas</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Policy brief untuk Dinas Kebudayaan dan Dinas Pendidikan Kabupaten Landak</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Video dokumenter 15–20 menit — diseminasi karya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Laporan seminar diseminasi dan pameran — diseminasi karya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Surat Pencatatan Ciptaan dari Ditjen KI Kemenkumham RI</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Hasil (Outcome):</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Minimal 20 konsep matematis Dayak Kanayatn terpetakan ke framework Bishop</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Arsip digital pengetahuan tradisional dapat diakses komunitas secara mandiri</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Minimal 1 sekolah di Kabupaten Landak mengintegrasikan temuan ke muatan lokal</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Meningkatnya kesadaran komunitas dan pemuda adat terhadap nilai pengetahuan tradisional</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Dampak Jangka Panjang:</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Jalur pendidikan: Integrasi ke kurikulum muatan lokal SD/SMP Kabupaten Landak memberikan landasan identitas budaya bagi peserta didik Dayak Kanayatn</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Jalur akademik: Terbukanya penelitian lanjutan mencakup etnobotani, etnolinguistik, dan etnofisika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Jalur kebijakan: Pengakuan resmi OPK Dayak Kanayatn oleh Kementerian Kebudayaan berbasis data kajian yang terverifikasi</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Manfaat bagi Komunitas Dayak Kanayatn:</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Legitimasi akademik atas sistem pengetahuan tradisional yang selama ini tidak diakui secara formal</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Arsip budaya yang dapat diwariskan kepada generasi mendatang</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Penguatan posisi tawar dalam negosiasi hak-hak masyarakat adat</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BAB IV
TAHAPAN PELAKSANAAN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Pelaksanaan kajian ini dirancang dalam 10 (sepuluh) bulan dengan enam fase yang saling berkesinambungan. Penjadwalan setiap fase mempertimbangkan buffer waktu yang memadai untuk mengantisipasi faktor di luar kendali tim, terutama cuaca musim hujan dan jadwal ritus adat yang bergantung sepenuhnya pada kalender pertanian komunitas.</w:t>
      </w:r>
    </w:p>
    <w:p>
      <w:pPr>
        <w:spacing w:after="0" w:before="0"/>
      </w:pPr>
      <w:r>
        <w:rPr>
          <w:rFonts w:ascii="Times New Roman" w:cs="Times New Roman" w:eastAsia="Times New Roman" w:hAnsi="Times New Roman"/>
          <w:sz w:val="24"/>
          <w:szCs w:val="24"/>
        </w:rP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
        <w:gridCol w:w="2700"/>
        <w:gridCol w:w="2300"/>
        <w:gridCol w:w="1700"/>
        <w:gridCol w:w="957"/>
      </w:tblGrid>
      <w:tr>
        <w:tc>
          <w:tcPr>
            <w:tcW w:type="dxa" w:w="28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No.</w:t>
            </w:r>
          </w:p>
        </w:tc>
        <w:tc>
          <w:tcPr>
            <w:tcW w:type="dxa" w:w="27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Tahapan Pelaksanaan</w:t>
            </w:r>
          </w:p>
        </w:tc>
        <w:tc>
          <w:tcPr>
            <w:tcW w:type="dxa" w:w="23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Output yang Dihasilkan</w:t>
            </w:r>
          </w:p>
        </w:tc>
        <w:tc>
          <w:tcPr>
            <w:tcW w:type="dxa" w:w="17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Hasil (Outcome)</w:t>
            </w:r>
          </w:p>
        </w:tc>
        <w:tc>
          <w:tcPr>
            <w:tcW w:type="dxa" w:w="957"/>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Waktu</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2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Persiapan administrasi dan perizinan: pengurusan izin Kesbangpol dan Dinasbudpar, permohonan izin adat kepada Dewan Adat Dayak Kanayatn, rekrutmen asisten lapangan lokal, sewa peralatan dokumentasi, finalisasi instrumen penelitian</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Surat izin resmi, MoU mitra, instrumen final (panduan wawancara, lembar observasi, protokol FGD)</w:t>
            </w:r>
          </w:p>
        </w:tc>
        <w:tc>
          <w:tcPr>
            <w:tcW w:type="dxa" w:w="1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Kesiapan operasional 100%; kepercayaan awal komunitas terbangun</w:t>
            </w:r>
          </w:p>
        </w:tc>
        <w:tc>
          <w:tcPr>
            <w:tcW w:type="dxa" w:w="9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1</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2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Survei pendahuluan: kunjungan awal ke lokasi kajian, pemetaan informan kunci berdasarkan rekomendasi perangkat adat, uji instrumen skala kecil, penjadwalan ritus yang diselaraskan dengan kalender pertanian komunitas</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Peta informan, daftar kontak narasumber kunci, instrumen terrevisi, jadwal ritus</w:t>
            </w:r>
          </w:p>
        </w:tc>
        <w:tc>
          <w:tcPr>
            <w:tcW w:type="dxa" w:w="1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Pemahaman konteks lapangan mendalam; penjadwalan FGD dan wawancara terkoordinasi</w:t>
            </w:r>
          </w:p>
        </w:tc>
        <w:tc>
          <w:tcPr>
            <w:tcW w:type="dxa" w:w="9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2</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w:t>
            </w:r>
          </w:p>
        </w:tc>
        <w:tc>
          <w:tcPr>
            <w:tcW w:type="dxa" w:w="2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intensif Fase 1: observasi partisipatif pada musim persiapan ladang dan pembibitan; wawancara mendalam dengan petani senior dan tetua adat (6–8 sesi); dokumentasi audiovisual aktivitas pertanian awal</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Rekaman audio/video, catatan lapangan terstruktur, transkrip awal 6–8 wawancara, foto etnografis</w:t>
            </w:r>
          </w:p>
        </w:tc>
        <w:tc>
          <w:tcPr>
            <w:tcW w:type="dxa" w:w="1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Data primer fase pertanian awal terkumpul; konsep matematis terkait pengukuran lahan dan kalender astronomi mulai teridentifikasi</w:t>
            </w:r>
          </w:p>
        </w:tc>
        <w:tc>
          <w:tcPr>
            <w:tcW w:type="dxa" w:w="9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3</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2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intensif Fase 2: observasi dan dokumentasi ritus Babari dan proses tugal; FGD pertama (kelompok petani senior); wawancara dengan Baliatn tentang struktur ritual; pengumpulan artefak nonsensitif</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Rekaman video ritus, laporan FGD sesi 1, transkrip wawancara Baliatn, katalog artefak</w:t>
            </w:r>
          </w:p>
        </w:tc>
        <w:tc>
          <w:tcPr>
            <w:tcW w:type="dxa" w:w="1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Data ritus pertanian terdokumentasi; konsep bilangan dalam tugal dan Babari teridentifikasi</w:t>
            </w:r>
          </w:p>
        </w:tc>
        <w:tc>
          <w:tcPr>
            <w:tcW w:type="dxa" w:w="9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4</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2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intensif Fase 3: FGD kedua (generasi menengah) dan ketiga (pemuda adat); wawancara lanjutan (5–7 sesi); validasi awal instrumen analisis; pengecekan saturasi data</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Laporan FGD sesi 2 dan 3, transkrip wawancara lanjutan, memo saturasi data</w:t>
            </w:r>
          </w:p>
        </w:tc>
        <w:tc>
          <w:tcPr>
            <w:tcW w:type="dxa" w:w="1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Saturasi data tercapai; perspektif tiga kelompok usia terdokumentasi; kesenjangan pengetahuan antargenerasi teridentifikasi</w:t>
            </w:r>
          </w:p>
        </w:tc>
        <w:tc>
          <w:tcPr>
            <w:tcW w:type="dxa" w:w="9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5</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6</w:t>
            </w:r>
          </w:p>
        </w:tc>
        <w:tc>
          <w:tcPr>
            <w:tcW w:type="dxa" w:w="2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Transkripsi verbatim seluruh rekaman; pengkodean tematik menggunakan kerangka Bishop; penyusunan matriks konsep etnomatematika; penulisan draft naskah Bab I dan II</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Transkrip lengkap, matriks koding tematik, matriks pemetaan Bishop (target ≥20 konsep), draft naskah Bab I–II</w:t>
            </w:r>
          </w:p>
        </w:tc>
        <w:tc>
          <w:tcPr>
            <w:tcW w:type="dxa" w:w="1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Data mentah bertransformasi menjadi pengetahuan terkonseptualisasi; ≥20 konsep matematis teridentifikasi</w:t>
            </w:r>
          </w:p>
        </w:tc>
        <w:tc>
          <w:tcPr>
            <w:tcW w:type="dxa" w:w="9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6</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7</w:t>
            </w:r>
          </w:p>
        </w:tc>
        <w:tc>
          <w:tcPr>
            <w:tcW w:type="dxa" w:w="2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Analisis mendalam dan penulisan naskah: finalisasi analisis etnomatematika, penulisan draft naskah Bab III–V, penyusunan monograf ringkas, penyusunan draft policy brief</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Draft naskah buku lengkap (80% selesai), draft policy brief, draft monograf ringkas</w:t>
            </w:r>
          </w:p>
        </w:tc>
        <w:tc>
          <w:tcPr>
            <w:tcW w:type="dxa" w:w="1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Naskah akademik siap untuk validasi komunitas dan peer-review eksternal</w:t>
            </w:r>
          </w:p>
        </w:tc>
        <w:tc>
          <w:tcPr>
            <w:tcW w:type="dxa" w:w="9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7</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w:t>
            </w:r>
          </w:p>
        </w:tc>
        <w:tc>
          <w:tcPr>
            <w:tcW w:type="dxa" w:w="2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Validasi komunitas (member checking): FGD validasi mengundang narasumber kunci, pemangku adat, dan Baliatn; presentasi temuan untuk konfirmasi akurasi; revisi berdasarkan masukan; perolehan persetujuan publikasi</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Laporan validasi komunitas, berita acara FGD validasi, naskah terrevisi, persetujuan publikasi dari komunitas</w:t>
            </w:r>
          </w:p>
        </w:tc>
        <w:tc>
          <w:tcPr>
            <w:tcW w:type="dxa" w:w="1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Validitas dan legitimasi temuan terjamin; kepercayaan komunitas terhadap proses riset diperkuat</w:t>
            </w:r>
          </w:p>
        </w:tc>
        <w:tc>
          <w:tcPr>
            <w:tcW w:type="dxa" w:w="9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8</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9</w:t>
            </w:r>
          </w:p>
        </w:tc>
        <w:tc>
          <w:tcPr>
            <w:tcW w:type="dxa" w:w="2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Finalisasi seluruh produk kajian: revisi akhir naskah buku, finalisasi artikel jurnal dan policy brief, produksi video dokumenter, persiapan materi seminar dan pameran, pengajuan HKI</w:t>
            </w:r>
          </w:p>
        </w:tc>
        <w:tc>
          <w:tcPr>
            <w:tcW w:type="dxa" w:w="23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Naskah buku final, artikel jurnal siap submit, policy brief final, video dokumenter selesai, materi seminar dan pameran</w:t>
            </w:r>
          </w:p>
        </w:tc>
        <w:tc>
          <w:tcPr>
            <w:tcW w:type="dxa" w:w="17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Seluruh produk kajian OPK-CB selesai dan siap dipublikasikan</w:t>
            </w:r>
          </w:p>
        </w:tc>
        <w:tc>
          <w:tcPr>
            <w:tcW w:type="dxa" w:w="9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9</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10</w:t>
            </w:r>
          </w:p>
        </w:tc>
        <w:tc>
          <w:tcPr>
            <w:tcW w:type="dxa" w:w="2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Diseminasi hasil: seminar terbuka (min. 80 peserta), pameran dokumentasi, distribusi materi ke komunitas dan pemda, penyerahan arsip ke lembaga adat, submission artikel jurnal, pengajuan HKI</w:t>
            </w:r>
          </w:p>
        </w:tc>
        <w:tc>
          <w:tcPr>
            <w:tcW w:type="dxa" w:w="23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Laporan seminar, dokumentasi pameran, arsip tersebar ke komunitas, bukti submission, bukti pengajuan HKI</w:t>
            </w:r>
          </w:p>
        </w:tc>
        <w:tc>
          <w:tcPr>
            <w:tcW w:type="dxa" w:w="17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Pengetahuan etnomatematika tersebar ke publik akademik dan komunitas; program terlaksana penuh</w:t>
            </w:r>
          </w:p>
        </w:tc>
        <w:tc>
          <w:tcPr>
            <w:tcW w:type="dxa" w:w="9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Bulan 10</w:t>
            </w:r>
          </w:p>
        </w:tc>
      </w:tr>
    </w:tbl>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Keterangan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Fase pengumpulan data (Bulan 3–5) dirancang mengikuti kalender ritus komunitas. Seluruh tahapan dirancang untuk memenuhi tiga kategori keluaran Program Dana Indonesiana: kajian OPK-CB (Fase 1–9), diseminasi karya (Fase 10), dan sertifikasi HKI (Fase 10).</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BAB V
PELAKSANAAN KEGIATAN</w:t>
      </w:r>
    </w:p>
    <w:p>
      <w:pPr>
        <w:pStyle w:val="Heading2"/>
        <w:spacing w:after="140" w:before="280" w:line="276" w:lineRule="auto"/>
        <w:jc w:val="left"/>
      </w:pPr>
      <w:r>
        <w:rPr>
          <w:rFonts w:ascii="Times New Roman" w:cs="Times New Roman" w:eastAsia="Times New Roman" w:hAnsi="Times New Roman"/>
          <w:b/>
          <w:bCs/>
          <w:sz w:val="24"/>
          <w:szCs w:val="24"/>
        </w:rPr>
        <w:t xml:space="preserve">A. Metode Pelaksanaan</w:t>
      </w:r>
    </w:p>
    <w:p>
      <w:pPr>
        <w:pStyle w:val="Heading3"/>
        <w:spacing w:after="100" w:before="200" w:line="276" w:lineRule="auto"/>
        <w:jc w:val="left"/>
      </w:pPr>
      <w:r>
        <w:rPr>
          <w:rFonts w:ascii="Times New Roman" w:cs="Times New Roman" w:eastAsia="Times New Roman" w:hAnsi="Times New Roman"/>
          <w:b/>
          <w:bCs/>
          <w:i/>
          <w:iCs/>
          <w:sz w:val="24"/>
          <w:szCs w:val="24"/>
        </w:rPr>
        <w:t xml:space="preserve">1. Pendekatan dan Kerangka Analitis</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Penelitian ini menerapkan pendekatan kualitatif etnografis dengan kerangka analitis etnomatematika (Creswell &amp; Poth, 2018). Pendekatan etnografi dipilih karena memungkinkan peneliti memahami praktik-praktik budaya dalam konteksnya yang alamiah melalui keterlibatan langsung dan berkepanjangan bersama komunitas (Spradley, 1980; Cohen et al., 2007). Kerangka etnomatematika Bishop (1988) diterapkan sebagai alat analitis utama melalui enam aktivitas matematis universal: menghitung, mengukur, menempatkan, merancang, bermain, dan menjelaskan.</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Tim peneliti berposisi sebagai peneliti luar (outsider) dengan kesadaran penuh untuk menjaga kepekaan terhadap perspektif emik. Untuk mengimbangi posisi tersebut, tim melibatkan dua asisten lapangan lokal anggota komunitas yang memiliki jaringan kepercayaan, dan mendokumentasikan refleksi metodologis secara sistematis dalam jurnal lapangan (Meaney et al., 2013).</w:t>
      </w:r>
    </w:p>
    <w:p>
      <w:pPr>
        <w:pStyle w:val="Heading3"/>
        <w:spacing w:after="100" w:before="200" w:line="276" w:lineRule="auto"/>
        <w:jc w:val="left"/>
      </w:pPr>
      <w:r>
        <w:rPr>
          <w:rFonts w:ascii="Times New Roman" w:cs="Times New Roman" w:eastAsia="Times New Roman" w:hAnsi="Times New Roman"/>
          <w:b/>
          <w:bCs/>
          <w:i/>
          <w:iCs/>
          <w:sz w:val="24"/>
          <w:szCs w:val="24"/>
        </w:rPr>
        <w:t xml:space="preserve">2. Teknik Pengumpulan Data</w:t>
      </w:r>
    </w:p>
    <w:p>
      <w:pPr>
        <w:pStyle w:val="ListParagraph"/>
        <w:numPr>
          <w:ilvl w:val="0"/>
          <w:numId w:val="5"/>
        </w:numPr>
        <w:spacing w:after="80" w:before="0" w:line="276" w:lineRule="auto"/>
        <w:jc w:val="both"/>
      </w:pPr>
      <w:r>
        <w:rPr>
          <w:rFonts w:ascii="Times New Roman" w:cs="Times New Roman" w:eastAsia="Times New Roman" w:hAnsi="Times New Roman"/>
          <w:sz w:val="24"/>
          <w:szCs w:val="24"/>
        </w:rPr>
        <w:t xml:space="preserve">Observasi partisipatif: Dilaksanakan intensif selama musim tanam dan panen untuk mendokumentasikan praktik siklus padi dalam konteks alamiahnya, dengan catatan lapangan berformat terstruktur mencakup deskripsi, interpretasi awal, dan memo analitik.</w:t>
      </w:r>
    </w:p>
    <w:p>
      <w:pPr>
        <w:pStyle w:val="ListParagraph"/>
        <w:numPr>
          <w:ilvl w:val="0"/>
          <w:numId w:val="5"/>
        </w:numPr>
        <w:spacing w:after="80" w:before="0" w:line="276" w:lineRule="auto"/>
        <w:jc w:val="both"/>
      </w:pPr>
      <w:r>
        <w:rPr>
          <w:rFonts w:ascii="Times New Roman" w:cs="Times New Roman" w:eastAsia="Times New Roman" w:hAnsi="Times New Roman"/>
          <w:sz w:val="24"/>
          <w:szCs w:val="24"/>
        </w:rPr>
        <w:t xml:space="preserve">Wawancara semi-terstruktur mendalam: Dilakukan dengan minimal 15 informan kunci—tetua adat, petani berpengalaman, dan Baliatn—menggunakan bahasa Kanayatn dengan bantuan penerjemah lokal.</w:t>
      </w:r>
    </w:p>
    <w:p>
      <w:pPr>
        <w:pStyle w:val="ListParagraph"/>
        <w:numPr>
          <w:ilvl w:val="0"/>
          <w:numId w:val="5"/>
        </w:numPr>
        <w:spacing w:after="80" w:before="0" w:line="276" w:lineRule="auto"/>
        <w:jc w:val="both"/>
      </w:pPr>
      <w:r>
        <w:rPr>
          <w:rFonts w:ascii="Times New Roman" w:cs="Times New Roman" w:eastAsia="Times New Roman" w:hAnsi="Times New Roman"/>
          <w:sz w:val="24"/>
          <w:szCs w:val="24"/>
        </w:rPr>
        <w:t xml:space="preserve">Focus Group Discussion (FGD): Empat sesi dengan kelompok usia berbeda (senior ≥50 tahun, menengah 30–50 tahun, pemuda 17–30 tahun, dan sesi validasi) untuk memvalidasi temuan awal dan mengeksplorasi perspektif kolektif.</w:t>
      </w:r>
    </w:p>
    <w:p>
      <w:pPr>
        <w:pStyle w:val="ListParagraph"/>
        <w:numPr>
          <w:ilvl w:val="0"/>
          <w:numId w:val="5"/>
        </w:numPr>
        <w:spacing w:after="80" w:before="0" w:line="276" w:lineRule="auto"/>
        <w:jc w:val="both"/>
      </w:pPr>
      <w:r>
        <w:rPr>
          <w:rFonts w:ascii="Times New Roman" w:cs="Times New Roman" w:eastAsia="Times New Roman" w:hAnsi="Times New Roman"/>
          <w:sz w:val="24"/>
          <w:szCs w:val="24"/>
        </w:rPr>
        <w:t xml:space="preserve">Dokumentasi audiovisual: Rekaman video, foto, dan audio untuk menangkap dimensi visual dan performatif ritus pertanian, dilakukan setelah mendapat izin dari tetua adat.</w:t>
      </w:r>
    </w:p>
    <w:p>
      <w:pPr>
        <w:pStyle w:val="ListParagraph"/>
        <w:numPr>
          <w:ilvl w:val="0"/>
          <w:numId w:val="5"/>
        </w:numPr>
        <w:spacing w:after="80" w:before="0" w:line="276" w:lineRule="auto"/>
        <w:jc w:val="both"/>
      </w:pPr>
      <w:r>
        <w:rPr>
          <w:rFonts w:ascii="Times New Roman" w:cs="Times New Roman" w:eastAsia="Times New Roman" w:hAnsi="Times New Roman"/>
          <w:sz w:val="24"/>
          <w:szCs w:val="24"/>
        </w:rPr>
        <w:t xml:space="preserve">Pengumpulan artefak nonsensitif: Alat pertanian tradisional, motif anyaman, dan representasi kalender pertanian lokal, dengan persetujuan penuh dan tertulis dari komunitas.</w:t>
      </w:r>
    </w:p>
    <w:p>
      <w:pPr>
        <w:spacing w:after="0" w:before="0"/>
      </w:pPr>
      <w:r>
        <w:rPr>
          <w:rFonts w:ascii="Times New Roman" w:cs="Times New Roman" w:eastAsia="Times New Roman" w:hAnsi="Times New Roman"/>
          <w:sz w:val="24"/>
          <w:szCs w:val="24"/>
        </w:rPr>
        <w:t xml:space="preserve"/>
      </w:r>
    </w:p>
    <w:p>
      <w:pPr>
        <w:pStyle w:val="Heading3"/>
        <w:spacing w:after="100" w:before="200" w:line="276" w:lineRule="auto"/>
        <w:jc w:val="left"/>
      </w:pPr>
      <w:r>
        <w:rPr>
          <w:rFonts w:ascii="Times New Roman" w:cs="Times New Roman" w:eastAsia="Times New Roman" w:hAnsi="Times New Roman"/>
          <w:b/>
          <w:bCs/>
          <w:i/>
          <w:iCs/>
          <w:sz w:val="24"/>
          <w:szCs w:val="24"/>
        </w:rPr>
        <w:t xml:space="preserve">3. Strategi Sampling dan Saturasi Data</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Pemilihan informan menggunakan kombinasi purposive sampling (berdasarkan pengetahuan dan peran adat) dan snowball sampling (untuk memperluas jaringan ke pemegang pengetahuan yang lebih terpencil). Pengumpulan data dihentikan setelah saturasi: tiga wawancara berturut-turut tidak menghasilkan tema baru. Target minimal 15 informan dengan keterwakilan berbagai peran adat, gender, dan kelompok usia (Cohen et al., 2007).</w:t>
      </w:r>
    </w:p>
    <w:p>
      <w:pPr>
        <w:pStyle w:val="Heading3"/>
        <w:spacing w:after="100" w:before="200" w:line="276" w:lineRule="auto"/>
        <w:jc w:val="left"/>
      </w:pPr>
      <w:r>
        <w:rPr>
          <w:rFonts w:ascii="Times New Roman" w:cs="Times New Roman" w:eastAsia="Times New Roman" w:hAnsi="Times New Roman"/>
          <w:b/>
          <w:bCs/>
          <w:i/>
          <w:iCs/>
          <w:sz w:val="24"/>
          <w:szCs w:val="24"/>
        </w:rPr>
        <w:t xml:space="preserve">4. Analisis Data</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Proses analisis terdiri atas empat tahap: (1) transkripsi verbatim; (2) koding tematik menggunakan kerangka D'Ambrosio (1985) dan Rosa &amp; Orey (2011); (3) pemetaan analisis etnomatematika ke kategori aktivitas matematis Bishop; dan (4) triangulasi data melalui perbandingan temuan dari observasi, wawancara, FGD, dan artefak (Miles et al., 2014). Perangkat analisis: ATLAS.ti atau MAXQDA.</w:t>
      </w:r>
    </w:p>
    <w:p>
      <w:pPr>
        <w:pStyle w:val="Heading3"/>
        <w:spacing w:after="100" w:before="200" w:line="276" w:lineRule="auto"/>
        <w:jc w:val="left"/>
      </w:pPr>
      <w:r>
        <w:rPr>
          <w:rFonts w:ascii="Times New Roman" w:cs="Times New Roman" w:eastAsia="Times New Roman" w:hAnsi="Times New Roman"/>
          <w:b/>
          <w:bCs/>
          <w:i/>
          <w:iCs/>
          <w:sz w:val="24"/>
          <w:szCs w:val="24"/>
        </w:rPr>
        <w:t xml:space="preserve">5. Etika Penelitian dan Izin Adat</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Seluruh proses berpedoman pada prinsip etika ketat: (1) Free, Prior, and Informed Consent dari setiap informan dan komunitas; (2) izin adat resmi dari Dewan Adat Dayak Kanayatn; (3) anonimisasi identitas informan apabila diminta; (4) pengakuan eksplisit kepemilikan intelektual komunitas dalam seluruh publikasi; dan (5) penyerahan arsip tertutup kepada lembaga adat untuk materi sakral (Owens, 2015).</w:t>
      </w:r>
    </w:p>
    <w:p>
      <w:pPr>
        <w:pStyle w:val="Heading3"/>
        <w:spacing w:after="100" w:before="200" w:line="276" w:lineRule="auto"/>
        <w:jc w:val="left"/>
      </w:pPr>
      <w:r>
        <w:rPr>
          <w:rFonts w:ascii="Times New Roman" w:cs="Times New Roman" w:eastAsia="Times New Roman" w:hAnsi="Times New Roman"/>
          <w:b/>
          <w:bCs/>
          <w:i/>
          <w:iCs/>
          <w:sz w:val="24"/>
          <w:szCs w:val="24"/>
        </w:rPr>
        <w:t xml:space="preserve">6. Validasi Komunitas</w:t>
      </w:r>
    </w:p>
    <w:p>
      <w:pPr>
        <w:spacing w:after="160" w:before="0" w:line="276" w:lineRule="auto"/>
        <w:ind w:firstLine="720"/>
        <w:jc w:val="both"/>
      </w:pPr>
      <w:r>
        <w:rPr>
          <w:rFonts w:ascii="Times New Roman" w:cs="Times New Roman" w:eastAsia="Times New Roman" w:hAnsi="Times New Roman"/>
          <w:b w:val="false"/>
          <w:bCs w:val="false"/>
          <w:i w:val="false"/>
          <w:iCs w:val="false"/>
          <w:sz w:val="24"/>
          <w:szCs w:val="24"/>
        </w:rPr>
        <w:t xml:space="preserve">Validasi komunitas (member checking) dilaksanakan pada Bulan 8 dalam bentuk FGD validasi satu hari. Narasumber kunci, pemangku adat, dan Baliatn diminta mengonfirmasi akurasi interpretasi, mengoreksi kesalahan faktual, dan memberikan masukan terhadap rekomendasi yang akan disusun. Persetujuan komunitas atas materi yang akan dipublikasikan diperoleh secara eksplisit.</w:t>
      </w:r>
    </w:p>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B. Susunan Panitia Kegiatan, Peran, dan Tanggung Jawab Masing-Masing Anggota Panitia Kegiatan</w:t>
      </w:r>
    </w:p>
    <w:p>
      <w:pPr>
        <w:spacing w:after="0" w:before="0"/>
      </w:pPr>
      <w:r>
        <w:rPr>
          <w:rFonts w:ascii="Times New Roman" w:cs="Times New Roman" w:eastAsia="Times New Roman" w:hAnsi="Times New Roman"/>
          <w:sz w:val="24"/>
          <w:szCs w:val="24"/>
        </w:rP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50"/>
        <w:gridCol w:w="1950"/>
        <w:gridCol w:w="1900"/>
        <w:gridCol w:w="3737"/>
      </w:tblGrid>
      <w:tr>
        <w:tc>
          <w:tcPr>
            <w:tcW w:type="dxa" w:w="35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No.</w:t>
            </w:r>
          </w:p>
        </w:tc>
        <w:tc>
          <w:tcPr>
            <w:tcW w:type="dxa" w:w="195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Jabatan / Nama</w:t>
            </w:r>
          </w:p>
        </w:tc>
        <w:tc>
          <w:tcPr>
            <w:tcW w:type="dxa" w:w="19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Kualifikasi</w:t>
            </w:r>
          </w:p>
        </w:tc>
        <w:tc>
          <w:tcPr>
            <w:tcW w:type="dxa" w:w="3737"/>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Tugas dan Tanggung Jawab</w:t>
            </w:r>
          </w:p>
        </w:tc>
      </w:tr>
      <w:tr>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19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Peneliti Utama
Dr. Siti Suprihatiningsih, M.Pd</w:t>
            </w:r>
          </w:p>
        </w:tc>
        <w:tc>
          <w:tcPr>
            <w:tcW w:type="dxa" w:w="19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Pendidikan Matematika; pengalaman riset kebudayaan</w:t>
            </w:r>
          </w:p>
        </w:tc>
        <w:tc>
          <w:tcPr>
            <w:tcW w:type="dxa" w:w="37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Koordinasi ilmiah dan administratif; perancangan metodologi; analisis etnomatematika; penulisan naskah akademik; komunikasi dengan seluruh mitra; pelaporan kepada Manajemen Pelaksana</w:t>
            </w:r>
          </w:p>
        </w:tc>
      </w:tr>
      <w:tr>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19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Co-Researcher (Etnograf)
[ISI_NAMA]</w:t>
            </w:r>
          </w:p>
        </w:tc>
        <w:tc>
          <w:tcPr>
            <w:tcW w:type="dxa" w:w="19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Antropologi/Etnografi; pengalaman lapangan Kalimantan</w:t>
            </w:r>
          </w:p>
        </w:tc>
        <w:tc>
          <w:tcPr>
            <w:tcW w:type="dxa" w:w="37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lapangan; observasi partisipatif; pelaksanaan wawancara; pengelolaan catatan lapangan; asisten analisis tematik</w:t>
            </w:r>
          </w:p>
        </w:tc>
      </w:tr>
      <w:tr>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w:t>
            </w:r>
          </w:p>
        </w:tc>
        <w:tc>
          <w:tcPr>
            <w:tcW w:type="dxa" w:w="19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Asisten Lapangan Lokal 1
[ISI_NAMA]</w:t>
            </w:r>
          </w:p>
        </w:tc>
        <w:tc>
          <w:tcPr>
            <w:tcW w:type="dxa" w:w="19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Anggota komunitas Dayak Kanayatn; penguasaan bahasa Kanayatn</w:t>
            </w:r>
          </w:p>
        </w:tc>
        <w:tc>
          <w:tcPr>
            <w:tcW w:type="dxa" w:w="37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Penerjemahan bahasa Kanayatn–Indonesia; fasilitasi akses komunitas; jembatan kepercayaan dengan tetua adat dan Baliatn</w:t>
            </w:r>
          </w:p>
        </w:tc>
      </w:tr>
      <w:tr>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19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Asisten Lapangan Lokal 2
[ISI_NAMA]</w:t>
            </w:r>
          </w:p>
        </w:tc>
        <w:tc>
          <w:tcPr>
            <w:tcW w:type="dxa" w:w="19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Anggota komunitas Dayak Kanayatn; jaringan sosial luas</w:t>
            </w:r>
          </w:p>
        </w:tc>
        <w:tc>
          <w:tcPr>
            <w:tcW w:type="dxa" w:w="37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Logistik lapangan; koordinasi penjadwalan ritus dengan perangkat adat; dokumentasi pendukung; penghubung dengan pemuda komunitas</w:t>
            </w:r>
          </w:p>
        </w:tc>
      </w:tr>
      <w:tr>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19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Videografer dan Editor
[ISI_NAMA] (kontrak)</w:t>
            </w:r>
          </w:p>
        </w:tc>
        <w:tc>
          <w:tcPr>
            <w:tcW w:type="dxa" w:w="19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Produksi dan editing media audiovisual</w:t>
            </w:r>
          </w:p>
        </w:tc>
        <w:tc>
          <w:tcPr>
            <w:tcW w:type="dxa" w:w="37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Perekaman video ritus dan wawancara; editing video dokumenter 15–20 menit; pengelolaan arsip audiovisual digital</w:t>
            </w:r>
          </w:p>
        </w:tc>
      </w:tr>
      <w:tr>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6</w:t>
            </w:r>
          </w:p>
        </w:tc>
        <w:tc>
          <w:tcPr>
            <w:tcW w:type="dxa" w:w="19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Konsultan Adat
[ISI_NAMA]</w:t>
            </w:r>
          </w:p>
        </w:tc>
        <w:tc>
          <w:tcPr>
            <w:tcW w:type="dxa" w:w="19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Pemangku adat Dayak Kanayatn senior; otoritas adat diakui</w:t>
            </w:r>
          </w:p>
        </w:tc>
        <w:tc>
          <w:tcPr>
            <w:tcW w:type="dxa" w:w="373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Validasi budaya atas seluruh temuan; fasilitasi izin adat; peer-review interpretasi emik; pengawasan protokol adat selama pengumpulan data</w:t>
            </w:r>
          </w:p>
        </w:tc>
      </w:tr>
      <w:tr>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7</w:t>
            </w:r>
          </w:p>
        </w:tc>
        <w:tc>
          <w:tcPr>
            <w:tcW w:type="dxa" w:w="19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Enumerator/Transkriptor
[ISI_NAMA]</w:t>
            </w:r>
          </w:p>
        </w:tc>
        <w:tc>
          <w:tcPr>
            <w:tcW w:type="dxa" w:w="19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Mahasiswa Pascasarjana / tenaga terlatih</w:t>
            </w:r>
          </w:p>
        </w:tc>
        <w:tc>
          <w:tcPr>
            <w:tcW w:type="dxa" w:w="373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Transkripsi verbatim rekaman audio/video; entry data; pengkodean awal; pengelolaan arsip data digital</w:t>
            </w:r>
          </w:p>
        </w:tc>
      </w:tr>
    </w:tbl>
    <w:p>
      <w:pPr>
        <w:spacing w:after="0" w:before="0"/>
      </w:pPr>
      <w:r>
        <w:rPr>
          <w:rFonts w:ascii="Times New Roman" w:cs="Times New Roman" w:eastAsia="Times New Roman" w:hAnsi="Times New Roman"/>
          <w:sz w:val="24"/>
          <w:szCs w:val="24"/>
        </w:rPr>
        <w:t xml:space="preserve"/>
      </w:r>
    </w:p>
    <w:p>
      <w:pPr>
        <w:pStyle w:val="Heading2"/>
        <w:spacing w:after="140" w:before="280" w:line="276" w:lineRule="auto"/>
        <w:jc w:val="left"/>
      </w:pPr>
      <w:r>
        <w:rPr>
          <w:rFonts w:ascii="Times New Roman" w:cs="Times New Roman" w:eastAsia="Times New Roman" w:hAnsi="Times New Roman"/>
          <w:b/>
          <w:bCs/>
          <w:sz w:val="24"/>
          <w:szCs w:val="24"/>
        </w:rPr>
        <w:t xml:space="preserve">C. Waktu dan Tempat Kegiatan</w:t>
      </w:r>
    </w:p>
    <w:p>
      <w:pPr>
        <w:spacing w:after="160" w:before="0" w:line="276" w:lineRule="auto"/>
        <w:jc w:val="both"/>
      </w:pPr>
      <w:r>
        <w:rPr>
          <w:rFonts w:ascii="Times New Roman" w:cs="Times New Roman" w:eastAsia="Times New Roman" w:hAnsi="Times New Roman"/>
          <w:b/>
          <w:bCs/>
          <w:i w:val="false"/>
          <w:iCs w:val="false"/>
          <w:sz w:val="24"/>
          <w:szCs w:val="24"/>
        </w:rPr>
        <w:t xml:space="preserve">Waktu Pelaksanaan:</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10 (sepuluh) bulan, dimulai sejak penandatanganan perjanjian pendanaan dengan Manajemen Pelaksana Program Pemanfaatan Hasil Kelola Dana Abadi Kebudayaan Tahun 2025.</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Tempat Pelaksanaan:</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Lokasi lapangan utama: Desa [ISI_NAMA_DESA], Kecamatan [ISI_NAMA_KECAMATAN], Kabupaten Landak, Kalimantan Barat</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Lokasi analisis dan penulisan: [ISI_KOTA_PENELITI_UTAMA] (kantor/studio peneliti utama)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Lokasi seminar diseminasi dan pameran: [ISI_LOKASI_SEMINAR], Kabupaten Landak atau Kota Pontianak</w:t>
      </w:r>
    </w:p>
    <w:p>
      <w:pPr>
        <w:spacing w:after="0" w:before="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iCs/>
          <w:sz w:val="24"/>
          <w:szCs w:val="24"/>
        </w:rPr>
        <w:t xml:space="preserve">Jadwal pengumpulan data intensif (Bulan 3–5) dirancang mengikuti kalender ritus komunitas, terutama Naik Dango dan Babari, yang waktunya ditentukan oleh siklus pertanian—bukan kalender Gregorian. Penjadwalan bersifat fleksibel dengan window overlap antara Bulan 4 dan 5 sebagai buffer apabila ritus berlangsung di luar jadwal yang diperkirakan.</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DAFTAR PUSTAKA</w:t>
      </w:r>
    </w:p>
    <w:p>
      <w:pPr>
        <w:spacing w:after="140" w:before="0" w:line="276" w:lineRule="auto"/>
        <w:ind w:left="720" w:hanging="720"/>
        <w:jc w:val="both"/>
      </w:pPr>
      <w:r>
        <w:rPr>
          <w:rFonts w:ascii="Times New Roman" w:cs="Times New Roman" w:eastAsia="Times New Roman" w:hAnsi="Times New Roman"/>
          <w:sz w:val="24"/>
          <w:szCs w:val="24"/>
        </w:rPr>
        <w:t xml:space="preserve">Arkanudin, A. (2024). Tenun Songket Kampung Wisata Tenun Khatulistiwa Kota Pontianak. Ideas: Jurnal Pendidikan, Sosial, dan Budaya, 10(1), 59. https://doi.org/10.32884/ideas.v10i1.1622</w:t>
      </w:r>
    </w:p>
    <w:p>
      <w:pPr>
        <w:spacing w:after="140" w:before="0" w:line="276" w:lineRule="auto"/>
        <w:ind w:left="720" w:hanging="720"/>
        <w:jc w:val="both"/>
      </w:pPr>
      <w:r>
        <w:rPr>
          <w:rFonts w:ascii="Times New Roman" w:cs="Times New Roman" w:eastAsia="Times New Roman" w:hAnsi="Times New Roman"/>
          <w:sz w:val="24"/>
          <w:szCs w:val="24"/>
        </w:rPr>
        <w:t xml:space="preserve">Ascher, M., &amp; Ascher, R. (1986). Ethnomathematics. History of Science, 24(2), 125–144. https://doi.org/10.1177/007327538602400202</w:t>
      </w:r>
    </w:p>
    <w:p>
      <w:pPr>
        <w:spacing w:after="140" w:before="0" w:line="276" w:lineRule="auto"/>
        <w:ind w:left="720" w:hanging="720"/>
        <w:jc w:val="both"/>
      </w:pPr>
      <w:r>
        <w:rPr>
          <w:rFonts w:ascii="Times New Roman" w:cs="Times New Roman" w:eastAsia="Times New Roman" w:hAnsi="Times New Roman"/>
          <w:sz w:val="24"/>
          <w:szCs w:val="24"/>
        </w:rPr>
        <w:t xml:space="preserve">Baging, P. M., Ahmad, M. K., Kamarudin, M. K. A., &amp; Mohd, H. (2019). Local wisdom values assessment on Naik Dango ceremony: Kanayatn Dayaknese society at Saham Village on civic culture of the people in Indonesia. International Journal of Innovative Technology and Exploring Engineering, 8, 739–742. https://doi.org/10.35940/ijitee.l1127.10812s219</w:t>
      </w:r>
    </w:p>
    <w:p>
      <w:pPr>
        <w:spacing w:after="140" w:before="0" w:line="276" w:lineRule="auto"/>
        <w:ind w:left="720" w:hanging="720"/>
        <w:jc w:val="both"/>
      </w:pPr>
      <w:r>
        <w:rPr>
          <w:rFonts w:ascii="Times New Roman" w:cs="Times New Roman" w:eastAsia="Times New Roman" w:hAnsi="Times New Roman"/>
          <w:sz w:val="24"/>
          <w:szCs w:val="24"/>
        </w:rPr>
        <w:t xml:space="preserve">Bahri, S., &amp; Lestari, E. T. (2022). Naik Dango tradition in supporting social integration of ethnic Dayak community Kanayatn Binua Sunge Samak Kubu Raya Regency, West Kalimantan. Komunitas: International Journal of Indonesian Society and Culture, 14(1), 53–65. https://doi.org/10.15294/komunitas.v14i1.30934</w:t>
      </w:r>
    </w:p>
    <w:p>
      <w:pPr>
        <w:spacing w:after="140" w:before="0" w:line="276" w:lineRule="auto"/>
        <w:ind w:left="720" w:hanging="720"/>
        <w:jc w:val="both"/>
      </w:pPr>
      <w:r>
        <w:rPr>
          <w:rFonts w:ascii="Times New Roman" w:cs="Times New Roman" w:eastAsia="Times New Roman" w:hAnsi="Times New Roman"/>
          <w:sz w:val="24"/>
          <w:szCs w:val="24"/>
        </w:rPr>
        <w:t xml:space="preserve">Barton, B. (1996). Making sense of ethnomathematics: Ethnomathematics is making sense. Educational Studies in Mathematics, 31(1–2), 201–233. https://doi.org/10.1007/BF00143932</w:t>
      </w:r>
    </w:p>
    <w:p>
      <w:pPr>
        <w:spacing w:after="140" w:before="0" w:line="276" w:lineRule="auto"/>
        <w:ind w:left="720" w:hanging="720"/>
        <w:jc w:val="both"/>
      </w:pPr>
      <w:r>
        <w:rPr>
          <w:rFonts w:ascii="Times New Roman" w:cs="Times New Roman" w:eastAsia="Times New Roman" w:hAnsi="Times New Roman"/>
          <w:sz w:val="24"/>
          <w:szCs w:val="24"/>
        </w:rPr>
        <w:t xml:space="preserve">Bishop, A. J. (1988). Mathematics education in its cultural context. Educational Studies in Mathematics, 19(2), 179–191. https://doi.org/10.1007/BF00751231</w:t>
      </w:r>
    </w:p>
    <w:p>
      <w:pPr>
        <w:spacing w:after="140" w:before="0" w:line="276" w:lineRule="auto"/>
        <w:ind w:left="720" w:hanging="720"/>
        <w:jc w:val="both"/>
      </w:pPr>
      <w:r>
        <w:rPr>
          <w:rFonts w:ascii="Times New Roman" w:cs="Times New Roman" w:eastAsia="Times New Roman" w:hAnsi="Times New Roman"/>
          <w:sz w:val="24"/>
          <w:szCs w:val="24"/>
        </w:rPr>
        <w:t xml:space="preserve">Chandra, L. C., Endi, Y., Randa, A. G., &amp; Putra, G. B. (2022). Perkawinan adat Dayak Kanayatn dan hubungannya dengan perkawinan Gereja Katolik. ENGGANG: Jurnal Pendidikan, Bahasa, Sastra, Seni, dan Budaya, 2(2), 192–203. https://doi.org/10.37304/enggang.v3i1.4942</w:t>
      </w:r>
    </w:p>
    <w:p>
      <w:pPr>
        <w:spacing w:after="140" w:before="0" w:line="276" w:lineRule="auto"/>
        <w:ind w:left="720" w:hanging="720"/>
        <w:jc w:val="both"/>
      </w:pPr>
      <w:r>
        <w:rPr>
          <w:rFonts w:ascii="Times New Roman" w:cs="Times New Roman" w:eastAsia="Times New Roman" w:hAnsi="Times New Roman"/>
          <w:sz w:val="24"/>
          <w:szCs w:val="24"/>
        </w:rPr>
        <w:t xml:space="preserve">Cohen, L., Manion, L., &amp; Morrison, K. (2007). Research methods in education (6th ed.). Routledge.</w:t>
      </w:r>
    </w:p>
    <w:p>
      <w:pPr>
        <w:spacing w:after="140" w:before="0" w:line="276" w:lineRule="auto"/>
        <w:ind w:left="720" w:hanging="720"/>
        <w:jc w:val="both"/>
      </w:pPr>
      <w:r>
        <w:rPr>
          <w:rFonts w:ascii="Times New Roman" w:cs="Times New Roman" w:eastAsia="Times New Roman" w:hAnsi="Times New Roman"/>
          <w:sz w:val="24"/>
          <w:szCs w:val="24"/>
        </w:rPr>
        <w:t xml:space="preserve">Creswell, J. W., &amp; Poth, C. N. (2018). Qualitative inquiry and research design: Choosing among five approaches (4th ed.). SAGE Publications.</w:t>
      </w:r>
    </w:p>
    <w:p>
      <w:pPr>
        <w:spacing w:after="140" w:before="0" w:line="276" w:lineRule="auto"/>
        <w:ind w:left="720" w:hanging="720"/>
        <w:jc w:val="both"/>
      </w:pPr>
      <w:r>
        <w:rPr>
          <w:rFonts w:ascii="Times New Roman" w:cs="Times New Roman" w:eastAsia="Times New Roman" w:hAnsi="Times New Roman"/>
          <w:sz w:val="24"/>
          <w:szCs w:val="24"/>
        </w:rPr>
        <w:t xml:space="preserve">D'Ambrosio, U. (1985). Ethnomathematics and its place in the history and pedagogy of mathematics. For the Learning of Mathematics, 5(1), 44–48.</w:t>
      </w:r>
    </w:p>
    <w:p>
      <w:pPr>
        <w:spacing w:after="140" w:before="0" w:line="276" w:lineRule="auto"/>
        <w:ind w:left="720" w:hanging="720"/>
        <w:jc w:val="both"/>
      </w:pPr>
      <w:r>
        <w:rPr>
          <w:rFonts w:ascii="Times New Roman" w:cs="Times New Roman" w:eastAsia="Times New Roman" w:hAnsi="Times New Roman"/>
          <w:sz w:val="24"/>
          <w:szCs w:val="24"/>
        </w:rPr>
        <w:t xml:space="preserve">D'Ambrosio, U. (2001). Ethnomathematics: Link between traditions and modernity. Sense Publishers.</w:t>
      </w:r>
    </w:p>
    <w:p>
      <w:pPr>
        <w:spacing w:after="140" w:before="0" w:line="276" w:lineRule="auto"/>
        <w:ind w:left="720" w:hanging="720"/>
        <w:jc w:val="both"/>
      </w:pPr>
      <w:r>
        <w:rPr>
          <w:rFonts w:ascii="Times New Roman" w:cs="Times New Roman" w:eastAsia="Times New Roman" w:hAnsi="Times New Roman"/>
          <w:sz w:val="24"/>
          <w:szCs w:val="24"/>
        </w:rPr>
        <w:t xml:space="preserve">Francois, K. (2010). The role of ethnomathematics within mathematics education. Procedia — Social and Behavioral Sciences, 9, 54–59.</w:t>
      </w:r>
    </w:p>
    <w:p>
      <w:pPr>
        <w:spacing w:after="140" w:before="0" w:line="276" w:lineRule="auto"/>
        <w:ind w:left="720" w:hanging="720"/>
        <w:jc w:val="both"/>
      </w:pPr>
      <w:r>
        <w:rPr>
          <w:rFonts w:ascii="Times New Roman" w:cs="Times New Roman" w:eastAsia="Times New Roman" w:hAnsi="Times New Roman"/>
          <w:sz w:val="24"/>
          <w:szCs w:val="24"/>
        </w:rPr>
        <w:t xml:space="preserve">Gavin, M. C., McCarter, J., Mead, A., Berkes, F., Stepp, J. R., Peterson, D., &amp; Tang, R. (2015). Defining biocultural approaches to conservation. Trends in Ecology &amp; Evolution, 30(3), 140–145. https://doi.org/10.1016/j.tree.2014.12.005</w:t>
      </w:r>
    </w:p>
    <w:p>
      <w:pPr>
        <w:spacing w:after="140" w:before="0" w:line="276" w:lineRule="auto"/>
        <w:ind w:left="720" w:hanging="720"/>
        <w:jc w:val="both"/>
      </w:pPr>
      <w:r>
        <w:rPr>
          <w:rFonts w:ascii="Times New Roman" w:cs="Times New Roman" w:eastAsia="Times New Roman" w:hAnsi="Times New Roman"/>
          <w:sz w:val="24"/>
          <w:szCs w:val="24"/>
        </w:rPr>
        <w:t xml:space="preserve">Gerdes, P. (1994). Reflections on ethnomathematics. For the Learning of Mathematics, 14(2), 19–22.</w:t>
      </w:r>
    </w:p>
    <w:p>
      <w:pPr>
        <w:spacing w:after="140" w:before="0" w:line="276" w:lineRule="auto"/>
        <w:ind w:left="720" w:hanging="720"/>
        <w:jc w:val="both"/>
      </w:pPr>
      <w:r>
        <w:rPr>
          <w:rFonts w:ascii="Times New Roman" w:cs="Times New Roman" w:eastAsia="Times New Roman" w:hAnsi="Times New Roman"/>
          <w:sz w:val="24"/>
          <w:szCs w:val="24"/>
        </w:rPr>
        <w:t xml:space="preserve">Hartoyo, A. (2012). Eksplorasi etnomatematika pada budaya masyarakat Dayak perbatasan Indonesia–Malaysia Kabupaten Sanggau Kalbar. Jurnal Penelitian Pendidikan, 13(1), 14–23.</w:t>
      </w:r>
    </w:p>
    <w:p>
      <w:pPr>
        <w:spacing w:after="140" w:before="0" w:line="276" w:lineRule="auto"/>
        <w:ind w:left="720" w:hanging="720"/>
        <w:jc w:val="both"/>
      </w:pPr>
      <w:r>
        <w:rPr>
          <w:rFonts w:ascii="Times New Roman" w:cs="Times New Roman" w:eastAsia="Times New Roman" w:hAnsi="Times New Roman"/>
          <w:sz w:val="24"/>
          <w:szCs w:val="24"/>
        </w:rPr>
        <w:t xml:space="preserve">Herlina, H., Hastiani, H., &amp; Hariadi, T. (2024). The ritual of the rise of the Dango as a reflection of the Dayak ethnic tradition. Greenation International Journal of Law and Social Sciences, 2(1), 30–40. https://doi.org/10.38035/gijlss.v2i1.228</w:t>
      </w:r>
    </w:p>
    <w:p>
      <w:pPr>
        <w:spacing w:after="140" w:before="0" w:line="276" w:lineRule="auto"/>
        <w:ind w:left="720" w:hanging="720"/>
        <w:jc w:val="both"/>
      </w:pPr>
      <w:r>
        <w:rPr>
          <w:rFonts w:ascii="Times New Roman" w:cs="Times New Roman" w:eastAsia="Times New Roman" w:hAnsi="Times New Roman"/>
          <w:sz w:val="24"/>
          <w:szCs w:val="24"/>
        </w:rPr>
        <w:t xml:space="preserve">Jannah, N., Soebahar, H., Chotib, M., Harisudin, M. N., &amp; Amukune, S. (2025). Analisis perkembangan local wisdom di bumi Nusantara pada era disrupsi teknologi. Al Qodiri Jurnal Pendidikan Sosial dan Keagamaan, 23(1), 156–167. https://doi.org/10.53515/qodiri.2025.23.1.156-167</w:t>
      </w:r>
    </w:p>
    <w:p>
      <w:pPr>
        <w:spacing w:after="140" w:before="0" w:line="276" w:lineRule="auto"/>
        <w:ind w:left="720" w:hanging="720"/>
        <w:jc w:val="both"/>
      </w:pPr>
      <w:r>
        <w:rPr>
          <w:rFonts w:ascii="Times New Roman" w:cs="Times New Roman" w:eastAsia="Times New Roman" w:hAnsi="Times New Roman"/>
          <w:sz w:val="24"/>
          <w:szCs w:val="24"/>
        </w:rPr>
        <w:t xml:space="preserve">Knijnik, G. (2012). Differentially positioned language games: Ethnomathematics from a philosophical perspective. Educational Studies in Mathematics, 80(1–2), 87–100. https://doi.org/10.1007/s10649-012-9396-8</w:t>
      </w:r>
    </w:p>
    <w:p>
      <w:pPr>
        <w:spacing w:after="140" w:before="0" w:line="276" w:lineRule="auto"/>
        <w:ind w:left="720" w:hanging="720"/>
        <w:jc w:val="both"/>
      </w:pPr>
      <w:r>
        <w:rPr>
          <w:rFonts w:ascii="Times New Roman" w:cs="Times New Roman" w:eastAsia="Times New Roman" w:hAnsi="Times New Roman"/>
          <w:sz w:val="24"/>
          <w:szCs w:val="24"/>
        </w:rPr>
        <w:t xml:space="preserve">Linling, Y., &amp; Nuryadi, N. (2022). Ethnomathematics in the culture of mountain rice fitting by the Dayak Kanayatn community. Ethnomathematics Journal, 3(1). [SINTA 3] https://doi.org/10.21831/ej.v3i1.48725</w:t>
      </w:r>
    </w:p>
    <w:p>
      <w:pPr>
        <w:spacing w:after="140" w:before="0" w:line="276" w:lineRule="auto"/>
        <w:ind w:left="720" w:hanging="720"/>
        <w:jc w:val="both"/>
      </w:pPr>
      <w:r>
        <w:rPr>
          <w:rFonts w:ascii="Times New Roman" w:cs="Times New Roman" w:eastAsia="Times New Roman" w:hAnsi="Times New Roman"/>
          <w:sz w:val="24"/>
          <w:szCs w:val="24"/>
        </w:rPr>
        <w:t xml:space="preserve">Meaney, T., Trinick, T., &amp; Fairhall, U. (2013). One size does not fit all: Achieving equity in Maori mathematics classrooms. Journal for Research in Mathematics Education, 44(1), 235–263. https://doi.org/10.5951/jresematheduc.44.1.0235</w:t>
      </w:r>
    </w:p>
    <w:p>
      <w:pPr>
        <w:spacing w:after="140" w:before="0" w:line="276" w:lineRule="auto"/>
        <w:ind w:left="720" w:hanging="720"/>
        <w:jc w:val="both"/>
      </w:pPr>
      <w:r>
        <w:rPr>
          <w:rFonts w:ascii="Times New Roman" w:cs="Times New Roman" w:eastAsia="Times New Roman" w:hAnsi="Times New Roman"/>
          <w:sz w:val="24"/>
          <w:szCs w:val="24"/>
        </w:rPr>
        <w:t xml:space="preserve">Miles, M. B., Huberman, A. M., &amp; Saldana, J. (2014). Qualitative data analysis: A methods sourcebook (3rd ed.). SAGE Publications.</w:t>
      </w:r>
    </w:p>
    <w:p>
      <w:pPr>
        <w:spacing w:after="140" w:before="0" w:line="276" w:lineRule="auto"/>
        <w:ind w:left="720" w:hanging="720"/>
        <w:jc w:val="both"/>
      </w:pPr>
      <w:r>
        <w:rPr>
          <w:rFonts w:ascii="Times New Roman" w:cs="Times New Roman" w:eastAsia="Times New Roman" w:hAnsi="Times New Roman"/>
          <w:sz w:val="24"/>
          <w:szCs w:val="24"/>
        </w:rPr>
        <w:t xml:space="preserve">Novalinda, R., Ambiyar, &amp; Verawardina, U. (2020). Ethnomathematics in Malay Saprahan culture in West Kalimantan. Universal Journal of Educational Research, 8(9), 4340–4346. https://doi.org/10.13189/ujer.2020.080955</w:t>
      </w:r>
    </w:p>
    <w:p>
      <w:pPr>
        <w:spacing w:after="140" w:before="0" w:line="276" w:lineRule="auto"/>
        <w:ind w:left="720" w:hanging="720"/>
        <w:jc w:val="both"/>
      </w:pPr>
      <w:r>
        <w:rPr>
          <w:rFonts w:ascii="Times New Roman" w:cs="Times New Roman" w:eastAsia="Times New Roman" w:hAnsi="Times New Roman"/>
          <w:sz w:val="24"/>
          <w:szCs w:val="24"/>
        </w:rPr>
        <w:t xml:space="preserve">Orey, D. C., &amp; Rosa, M. (2006). Ethnomathematics: Cultural assertions and challenges towards pedagogical action. Journal of Mathematics and Culture, 1(1), 57–78.</w:t>
      </w:r>
    </w:p>
    <w:p>
      <w:pPr>
        <w:spacing w:after="140" w:before="0" w:line="276" w:lineRule="auto"/>
        <w:ind w:left="720" w:hanging="720"/>
        <w:jc w:val="both"/>
      </w:pPr>
      <w:r>
        <w:rPr>
          <w:rFonts w:ascii="Times New Roman" w:cs="Times New Roman" w:eastAsia="Times New Roman" w:hAnsi="Times New Roman"/>
          <w:sz w:val="24"/>
          <w:szCs w:val="24"/>
        </w:rPr>
        <w:t xml:space="preserve">Owens, K. (2015). Changing the teaching of mathematics for improved indigenous education in a rural Australian city. Journal of Mathematics Teacher Education, 18(1), 53–78. https://doi.org/10.1007/s10857-014-9271-x</w:t>
      </w:r>
    </w:p>
    <w:p>
      <w:pPr>
        <w:spacing w:after="140" w:before="0" w:line="276" w:lineRule="auto"/>
        <w:ind w:left="720" w:hanging="720"/>
        <w:jc w:val="both"/>
      </w:pPr>
      <w:r>
        <w:rPr>
          <w:rFonts w:ascii="Times New Roman" w:cs="Times New Roman" w:eastAsia="Times New Roman" w:hAnsi="Times New Roman"/>
          <w:sz w:val="24"/>
          <w:szCs w:val="24"/>
        </w:rPr>
        <w:t xml:space="preserve">Prahmana, R. C. I., &amp; D'Ambrosio, U. (2020). Learning geometry and values from patterns: Ethnomathematics on the batik patterns of Yogyakarta, Indonesia. Journal on Mathematics Education, 11(3), 439–456. [SINTA 1] https://doi.org/10.22342/jme.11.3.12949.439-456</w:t>
      </w:r>
    </w:p>
    <w:p>
      <w:pPr>
        <w:spacing w:after="140" w:before="0" w:line="276" w:lineRule="auto"/>
        <w:ind w:left="720" w:hanging="720"/>
        <w:jc w:val="both"/>
      </w:pPr>
      <w:r>
        <w:rPr>
          <w:rFonts w:ascii="Times New Roman" w:cs="Times New Roman" w:eastAsia="Times New Roman" w:hAnsi="Times New Roman"/>
          <w:sz w:val="24"/>
          <w:szCs w:val="24"/>
        </w:rPr>
        <w:t xml:space="preserve">Presmeg, N. C. (1998). Ethnomathematics in teacher education. Journal of Mathematics Teacher Education, 1(3), 317–339. https://doi.org/10.1023/A:1009946219294</w:t>
      </w:r>
    </w:p>
    <w:p>
      <w:pPr>
        <w:spacing w:after="140" w:before="0" w:line="276" w:lineRule="auto"/>
        <w:ind w:left="720" w:hanging="720"/>
        <w:jc w:val="both"/>
      </w:pPr>
      <w:r>
        <w:rPr>
          <w:rFonts w:ascii="Times New Roman" w:cs="Times New Roman" w:eastAsia="Times New Roman" w:hAnsi="Times New Roman"/>
          <w:sz w:val="24"/>
          <w:szCs w:val="24"/>
        </w:rPr>
        <w:t xml:space="preserve">Putri, L. I. (2017). Eksplorasi etnomatematika kesenian rebana sebagai sumber belajar matematika pada jenjang MI. Jurnal Ilmiah Pendidikan Dasar (JIIPD), 4(1), 21–31. https://doi.org/10.30659/pendas.4.1.21-31 [SINTA 3]</w:t>
      </w:r>
    </w:p>
    <w:p>
      <w:pPr>
        <w:spacing w:after="140" w:before="0" w:line="276" w:lineRule="auto"/>
        <w:ind w:left="720" w:hanging="720"/>
        <w:jc w:val="both"/>
      </w:pPr>
      <w:r>
        <w:rPr>
          <w:rFonts w:ascii="Times New Roman" w:cs="Times New Roman" w:eastAsia="Times New Roman" w:hAnsi="Times New Roman"/>
          <w:sz w:val="24"/>
          <w:szCs w:val="24"/>
        </w:rPr>
        <w:t xml:space="preserve">Risdiyanti, I., &amp; Prahmana, R. C. I. (2017). Ethnomathematics: Exploration in Javanese culture. Journal of Physics: Conference Series, 943(1), 012032. https://doi.org/10.1088/1742-6596/943/1/012032</w:t>
      </w:r>
    </w:p>
    <w:p>
      <w:pPr>
        <w:spacing w:after="140" w:before="0" w:line="276" w:lineRule="auto"/>
        <w:ind w:left="720" w:hanging="720"/>
        <w:jc w:val="both"/>
      </w:pPr>
      <w:r>
        <w:rPr>
          <w:rFonts w:ascii="Times New Roman" w:cs="Times New Roman" w:eastAsia="Times New Roman" w:hAnsi="Times New Roman"/>
          <w:sz w:val="24"/>
          <w:szCs w:val="24"/>
        </w:rPr>
        <w:t xml:space="preserve">Risdiyanti, I., &amp; Prahmana, R. C. I. (2020). Ethnomathematics (Sundanese culture): A promising approach to develop students' mathematical understanding. Journal on Mathematics Education, 11(1), 127–144. [SINTA 1] https://doi.org/10.22342/jme.11.1.9517.127-144</w:t>
      </w:r>
    </w:p>
    <w:p>
      <w:pPr>
        <w:spacing w:after="140" w:before="0" w:line="276" w:lineRule="auto"/>
        <w:ind w:left="720" w:hanging="720"/>
        <w:jc w:val="both"/>
      </w:pPr>
      <w:r>
        <w:rPr>
          <w:rFonts w:ascii="Times New Roman" w:cs="Times New Roman" w:eastAsia="Times New Roman" w:hAnsi="Times New Roman"/>
          <w:sz w:val="24"/>
          <w:szCs w:val="24"/>
        </w:rPr>
        <w:t xml:space="preserve">Rosa, M., &amp; Orey, D. C. (2011). Ethnomathematics: The cultural aspects of mathematics. Revista Latinoamericana de Etnomatematica, 4(2), 32–54.</w:t>
      </w:r>
    </w:p>
    <w:p>
      <w:pPr>
        <w:spacing w:after="140" w:before="0" w:line="276" w:lineRule="auto"/>
        <w:ind w:left="720" w:hanging="720"/>
        <w:jc w:val="both"/>
      </w:pPr>
      <w:r>
        <w:rPr>
          <w:rFonts w:ascii="Times New Roman" w:cs="Times New Roman" w:eastAsia="Times New Roman" w:hAnsi="Times New Roman"/>
          <w:sz w:val="24"/>
          <w:szCs w:val="24"/>
        </w:rPr>
        <w:t xml:space="preserve">Rowlands, S., &amp; Carson, R. (2002). Where would formal, academic mathematics stand in a curriculum informed by ethnomathematics? Educational Studies in Mathematics, 50(1), 79–102. https://doi.org/10.1023/A:1020532926983</w:t>
      </w:r>
    </w:p>
    <w:p>
      <w:pPr>
        <w:spacing w:after="140" w:before="0" w:line="276" w:lineRule="auto"/>
        <w:ind w:left="720" w:hanging="720"/>
        <w:jc w:val="both"/>
      </w:pPr>
      <w:r>
        <w:rPr>
          <w:rFonts w:ascii="Times New Roman" w:cs="Times New Roman" w:eastAsia="Times New Roman" w:hAnsi="Times New Roman"/>
          <w:sz w:val="24"/>
          <w:szCs w:val="24"/>
        </w:rPr>
        <w:t xml:space="preserve">Sister, H. E. D., &amp; Liliana, S. (2025). Studi etnomatematika pada proses ritual Ngamalo Lubakng Tugal dalam sistem pertanian Dayak Kanayatn. NUMERICAL: Jurnal Matematika dan Pendidikan Matematika, 9(1), 46–61. [SINTA 4] https://doi.org/10.25217/numerical.v9i1.5874</w:t>
      </w:r>
    </w:p>
    <w:p>
      <w:pPr>
        <w:spacing w:after="140" w:before="0" w:line="276" w:lineRule="auto"/>
        <w:ind w:left="720" w:hanging="720"/>
        <w:jc w:val="both"/>
      </w:pPr>
      <w:r>
        <w:rPr>
          <w:rFonts w:ascii="Times New Roman" w:cs="Times New Roman" w:eastAsia="Times New Roman" w:hAnsi="Times New Roman"/>
          <w:sz w:val="24"/>
          <w:szCs w:val="24"/>
        </w:rPr>
        <w:t xml:space="preserve">Spradley, J. P. (1980). Participant observation. Holt, Rinehart and Winston.</w:t>
      </w:r>
    </w:p>
    <w:p>
      <w:pPr>
        <w:spacing w:after="140" w:before="0" w:line="276" w:lineRule="auto"/>
        <w:ind w:left="720" w:hanging="720"/>
        <w:jc w:val="both"/>
      </w:pPr>
      <w:r>
        <w:rPr>
          <w:rFonts w:ascii="Times New Roman" w:cs="Times New Roman" w:eastAsia="Times New Roman" w:hAnsi="Times New Roman"/>
          <w:sz w:val="24"/>
          <w:szCs w:val="24"/>
        </w:rPr>
        <w:t xml:space="preserve">Supiyati, S., Hanum, F., &amp; Jailani, J. (2019). Ethnomathematics in Sasaknese architecture. Journal on Mathematics Education, 10(1), 47–58. [SINTA 1] https://doi.org/10.22342/jme.10.1.5383.47-58</w:t>
      </w:r>
    </w:p>
    <w:p>
      <w:pPr>
        <w:spacing w:after="140" w:before="0" w:line="276" w:lineRule="auto"/>
        <w:ind w:left="720" w:hanging="720"/>
        <w:jc w:val="both"/>
      </w:pPr>
      <w:r>
        <w:rPr>
          <w:rFonts w:ascii="Times New Roman" w:cs="Times New Roman" w:eastAsia="Times New Roman" w:hAnsi="Times New Roman"/>
          <w:sz w:val="24"/>
          <w:szCs w:val="24"/>
        </w:rPr>
        <w:t xml:space="preserve">Syam, C., Olendo, Y. O., Dewantara, J. A., &amp; Rahmani, E. F. (2024). Oral literature and social identity of the Dayak Kanayatn. Cogent Arts &amp; Humanities, 11(1). https://doi.org/10.1080/23311983.2024.2376785</w:t>
      </w:r>
    </w:p>
    <w:p>
      <w:pPr>
        <w:spacing w:after="140" w:before="0" w:line="276" w:lineRule="auto"/>
        <w:ind w:left="720" w:hanging="720"/>
        <w:jc w:val="both"/>
      </w:pPr>
      <w:r>
        <w:rPr>
          <w:rFonts w:ascii="Times New Roman" w:cs="Times New Roman" w:eastAsia="Times New Roman" w:hAnsi="Times New Roman"/>
          <w:sz w:val="24"/>
          <w:szCs w:val="24"/>
        </w:rPr>
        <w:t xml:space="preserve">Vithal, R., &amp; Skovsmose, O. (1997). The end of innocence: A critique of ethnomathematics. Educational Studies in Mathematics, 34(2), 131–157. https://doi.org/10.1023/A:1002971922833</w:t>
      </w:r>
    </w:p>
    <w:p>
      <w:pPr>
        <w:spacing w:after="140" w:before="0" w:line="276" w:lineRule="auto"/>
        <w:ind w:left="720" w:hanging="720"/>
        <w:jc w:val="both"/>
      </w:pPr>
      <w:r>
        <w:rPr>
          <w:rFonts w:ascii="Times New Roman" w:cs="Times New Roman" w:eastAsia="Times New Roman" w:hAnsi="Times New Roman"/>
          <w:sz w:val="24"/>
          <w:szCs w:val="24"/>
        </w:rPr>
        <w:t xml:space="preserve">Wahyuni, A., Tias, A. A. W., &amp; Sani, B. (2013). Peran etnomatematika dalam membangun karakter bangsa. Prosiding Seminar Nasional Matematika dan Pendidikan Matematika FMIPA UNY, 1, 113–118.</w:t>
      </w:r>
    </w:p>
    <w:p>
      <w:pPr>
        <w:spacing w:after="140" w:before="0" w:line="276" w:lineRule="auto"/>
        <w:ind w:left="720" w:hanging="720"/>
        <w:jc w:val="both"/>
      </w:pPr>
      <w:r>
        <w:rPr>
          <w:rFonts w:ascii="Times New Roman" w:cs="Times New Roman" w:eastAsia="Times New Roman" w:hAnsi="Times New Roman"/>
          <w:sz w:val="24"/>
          <w:szCs w:val="24"/>
        </w:rPr>
        <w:t xml:space="preserve">Yulianto, E. H., Mariyah, M., &amp; Anggraeni, R. (2025). Kearifan lokal kegiatan usaha tani padi ladang oleh Suku Dayak. AGRITEXTS: Journal of Agricultural Extension, 49(1), 19. https://doi.org/10.20961/agritexts.v49i1.84805</w:t>
      </w:r>
    </w:p>
    <w:p>
      <w:pPr>
        <w:spacing w:after="140" w:before="0" w:line="276" w:lineRule="auto"/>
        <w:ind w:left="720" w:hanging="720"/>
        <w:jc w:val="both"/>
      </w:pPr>
      <w:r>
        <w:rPr>
          <w:rFonts w:ascii="Times New Roman" w:cs="Times New Roman" w:eastAsia="Times New Roman" w:hAnsi="Times New Roman"/>
          <w:sz w:val="24"/>
          <w:szCs w:val="24"/>
        </w:rPr>
        <w:t xml:space="preserve">Zaenuri, Z., &amp; Dwidayati, N. (2018). Menggali etnomatematika: Matematika sebagai produk budaya. PRISMA: Prosiding Seminar Nasional Matematika, 1, 471–476. [SINTA 3] https://journal.unnes.ac.id/sju/index.php/prisma/article/view/20321</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FORMAT LINI MASA KEGIATAN</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Program Layanan Lainnya Kategori Kajian Objek Pemajuan Kebudayaan dan Cagar Budaya</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Dalam Lingkup Program Pemanfaatan Hasil Kelola Dana Abadi Kebudayaan Tahun 2025</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Nama Pengusul: Dr. Siti Suprihatiningsih, M.Pd</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Judul Kegiatan: Etnomatematika Siklus Padi Dayak Kanayatn di Landak: Eksplorasi Pengetahuan Tradisional dan Ritus Pertanian</w:t>
      </w:r>
    </w:p>
    <w:p>
      <w:pPr>
        <w:spacing w:after="0" w:before="0"/>
      </w:pPr>
      <w:r>
        <w:rPr>
          <w:rFonts w:ascii="Times New Roman" w:cs="Times New Roman" w:eastAsia="Times New Roman" w:hAnsi="Times New Roman"/>
          <w:sz w:val="24"/>
          <w:szCs w:val="24"/>
        </w:rP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
        <w:gridCol w:w="2100"/>
        <w:gridCol w:w="1100"/>
        <w:gridCol w:w="1800"/>
        <w:gridCol w:w="1457"/>
        <w:gridCol w:w="1200"/>
      </w:tblGrid>
      <w:tr>
        <w:tc>
          <w:tcPr>
            <w:tcW w:type="dxa" w:w="28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No.</w:t>
            </w:r>
          </w:p>
        </w:tc>
        <w:tc>
          <w:tcPr>
            <w:tcW w:type="dxa" w:w="21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Tahapan Kegiatan</w:t>
            </w:r>
          </w:p>
        </w:tc>
        <w:tc>
          <w:tcPr>
            <w:tcW w:type="dxa" w:w="11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Periode</w:t>
            </w:r>
          </w:p>
        </w:tc>
        <w:tc>
          <w:tcPr>
            <w:tcW w:type="dxa" w:w="18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Output</w:t>
            </w:r>
          </w:p>
        </w:tc>
        <w:tc>
          <w:tcPr>
            <w:tcW w:type="dxa" w:w="1457"/>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Keterangan</w:t>
            </w:r>
          </w:p>
        </w:tc>
        <w:tc>
          <w:tcPr>
            <w:tcW w:type="dxa" w:w="1200"/>
            <w:tcBorders>
              <w:top w:val="single" w:color="999999" w:sz="1"/>
              <w:left w:val="single" w:color="999999" w:sz="1"/>
              <w:bottom w:val="single" w:color="999999" w:sz="1"/>
              <w:right w:val="single" w:color="999999" w:sz="1"/>
            </w:tcBorders>
            <w:shd w:fill="1F4E79"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bCs/>
                <w:color w:val="FFFFFF"/>
                <w:sz w:val="20"/>
                <w:szCs w:val="20"/>
              </w:rPr>
              <w:t xml:space="preserve">Kategori</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2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Persiapan administrasi dan perizinan adat</w:t>
            </w:r>
          </w:p>
        </w:tc>
        <w:tc>
          <w:tcPr>
            <w:tcW w:type="dxa" w:w="1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1</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Surat izin, MoU, instrumen final</w:t>
            </w:r>
          </w:p>
        </w:tc>
        <w:tc>
          <w:tcPr>
            <w:tcW w:type="dxa" w:w="14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Kesiapan operasional 100%</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2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Survei pendahuluan dan pemetaan informan</w:t>
            </w:r>
          </w:p>
        </w:tc>
        <w:tc>
          <w:tcPr>
            <w:tcW w:type="dxa" w:w="1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Peta informan, jadwal ritus</w:t>
            </w:r>
          </w:p>
        </w:tc>
        <w:tc>
          <w:tcPr>
            <w:tcW w:type="dxa" w:w="14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Konteks lapangan dipahami</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w:t>
            </w:r>
          </w:p>
        </w:tc>
        <w:tc>
          <w:tcPr>
            <w:tcW w:type="dxa" w:w="2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Fase 1 (persiapan ladang dan pembibitan)</w:t>
            </w:r>
          </w:p>
        </w:tc>
        <w:tc>
          <w:tcPr>
            <w:tcW w:type="dxa" w:w="1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3</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Rekaman, catatan lapangan, transkrip 6–8 wawancara</w:t>
            </w:r>
          </w:p>
        </w:tc>
        <w:tc>
          <w:tcPr>
            <w:tcW w:type="dxa" w:w="14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Konsep ukuran lahan dan kalender astronomi mulai teridentifikasi</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2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Fase 2 (ritus Babari dan tugal)</w:t>
            </w:r>
          </w:p>
        </w:tc>
        <w:tc>
          <w:tcPr>
            <w:tcW w:type="dxa" w:w="1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4</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Video ritus, laporan FGD 1, transkrip Baliatn</w:t>
            </w:r>
          </w:p>
        </w:tc>
        <w:tc>
          <w:tcPr>
            <w:tcW w:type="dxa" w:w="14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Konsep bilangan dalam tugal terdokumentasi</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2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Pengumpulan data Fase 3 dan validasi awal (FGD 2 dan 3)</w:t>
            </w:r>
          </w:p>
        </w:tc>
        <w:tc>
          <w:tcPr>
            <w:tcW w:type="dxa" w:w="1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5</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Laporan FGD 2 &amp; 3, transkrip lanjutan, memo saturasi</w:t>
            </w:r>
          </w:p>
        </w:tc>
        <w:tc>
          <w:tcPr>
            <w:tcW w:type="dxa" w:w="14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Saturasi data tercapai</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6</w:t>
            </w:r>
          </w:p>
        </w:tc>
        <w:tc>
          <w:tcPr>
            <w:tcW w:type="dxa" w:w="2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Transkripsi, koding tematik, pemetaan Bishop</w:t>
            </w:r>
          </w:p>
        </w:tc>
        <w:tc>
          <w:tcPr>
            <w:tcW w:type="dxa" w:w="1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Transkrip, matriks koding, draft naskah Bab I–II</w:t>
            </w:r>
          </w:p>
        </w:tc>
        <w:tc>
          <w:tcPr>
            <w:tcW w:type="dxa" w:w="14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≥20 konsep matematis terpetakan</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7</w:t>
            </w:r>
          </w:p>
        </w:tc>
        <w:tc>
          <w:tcPr>
            <w:tcW w:type="dxa" w:w="2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Analisis mendalam dan penulisan naskah lengkap</w:t>
            </w:r>
          </w:p>
        </w:tc>
        <w:tc>
          <w:tcPr>
            <w:tcW w:type="dxa" w:w="1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7</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Draft naskah buku lengkap, draft policy brief</w:t>
            </w:r>
          </w:p>
        </w:tc>
        <w:tc>
          <w:tcPr>
            <w:tcW w:type="dxa" w:w="14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Naskah siap validasi komunitas</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w:t>
            </w:r>
          </w:p>
        </w:tc>
        <w:tc>
          <w:tcPr>
            <w:tcW w:type="dxa" w:w="2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Validasi komunitas (member checking dan FGD validasi)</w:t>
            </w:r>
          </w:p>
        </w:tc>
        <w:tc>
          <w:tcPr>
            <w:tcW w:type="dxa" w:w="1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Laporan validasi, naskah terrevisi, persetujuan komunitas</w:t>
            </w:r>
          </w:p>
        </w:tc>
        <w:tc>
          <w:tcPr>
            <w:tcW w:type="dxa" w:w="14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Validitas temuan terjamin</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9</w:t>
            </w:r>
          </w:p>
        </w:tc>
        <w:tc>
          <w:tcPr>
            <w:tcW w:type="dxa" w:w="2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Finalisasi naskah, produksi video, persiapan seminar dan pameran</w:t>
            </w:r>
          </w:p>
        </w:tc>
        <w:tc>
          <w:tcPr>
            <w:tcW w:type="dxa" w:w="11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9</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Naskah final, video dokumenter, policy brief final</w:t>
            </w:r>
          </w:p>
        </w:tc>
        <w:tc>
          <w:tcPr>
            <w:tcW w:type="dxa" w:w="1457"/>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Seluruh produk kajian OPK-CB selesai</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Kajian OPK-CB</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10</w:t>
            </w:r>
          </w:p>
        </w:tc>
        <w:tc>
          <w:tcPr>
            <w:tcW w:type="dxa" w:w="2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Seminar diseminasi, pameran, distribusi, submission jurnal, pengajuan HKI</w:t>
            </w:r>
          </w:p>
        </w:tc>
        <w:tc>
          <w:tcPr>
            <w:tcW w:type="dxa" w:w="11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 10</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Laporan seminar, arsip tersebar, bukti submission dan HKI</w:t>
            </w:r>
          </w:p>
        </w:tc>
        <w:tc>
          <w:tcPr>
            <w:tcW w:type="dxa" w:w="1457"/>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Program terlaksana penuh</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Diseminasi</w:t>
            </w:r>
          </w:p>
        </w:tc>
      </w:tr>
    </w:tbl>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val="false"/>
          <w:bCs w:val="false"/>
          <w:i/>
          <w:iCs/>
          <w:sz w:val="24"/>
          <w:szCs w:val="24"/>
        </w:rPr>
        <w:t xml:space="preserve">Catatan: Tanggal batas penyampaian laporan kemajuan dan laporan akhir ditentukan oleh Manajemen Pelaksana berdasarkan ketentuan petunjuk teknis setelah disetujuinya lini masa pada tahap penandatanganan perjanjian pendanaan.</w:t>
      </w:r>
    </w:p>
    <w:p>
      <w:r>
        <w:br w:type="page"/>
      </w:r>
    </w:p>
    <w:p>
      <w:pPr>
        <w:pStyle w:val="Heading1"/>
        <w:spacing w:after="240" w:before="400" w:line="276" w:lineRule="auto"/>
        <w:jc w:val="center"/>
      </w:pPr>
      <w:r>
        <w:rPr>
          <w:rFonts w:ascii="Times New Roman" w:cs="Times New Roman" w:eastAsia="Times New Roman" w:hAnsi="Times New Roman"/>
          <w:b/>
          <w:bCs/>
          <w:sz w:val="28"/>
          <w:szCs w:val="28"/>
        </w:rPr>
        <w:t xml:space="preserve">RENCANA ANGGARAN DAN BIAYA (RAB)</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Program Layanan Lainnya untuk Kajian Objek Pemajuan Kebudayaan dan Cagar Budaya</w:t>
      </w:r>
    </w:p>
    <w:p>
      <w:pPr>
        <w:spacing w:after="160" w:before="0" w:line="276" w:lineRule="auto"/>
        <w:jc w:val="both"/>
      </w:pPr>
      <w:r>
        <w:rPr>
          <w:rFonts w:ascii="Times New Roman" w:cs="Times New Roman" w:eastAsia="Times New Roman" w:hAnsi="Times New Roman"/>
          <w:b w:val="false"/>
          <w:bCs w:val="false"/>
          <w:i w:val="false"/>
          <w:iCs w:val="false"/>
          <w:sz w:val="24"/>
          <w:szCs w:val="24"/>
        </w:rPr>
        <w:t xml:space="preserve">Nama Pengusul: Dr. Siti Suprihatiningsih, M.Pd | Tahun Pengajuan: 2025</w:t>
      </w:r>
    </w:p>
    <w:p>
      <w:pPr>
        <w:spacing w:after="0" w:before="0"/>
      </w:pPr>
      <w:r>
        <w:rPr>
          <w:rFonts w:ascii="Times New Roman" w:cs="Times New Roman" w:eastAsia="Times New Roman" w:hAnsi="Times New Roman"/>
          <w:sz w:val="24"/>
          <w:szCs w:val="24"/>
        </w:rP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
        <w:gridCol w:w="1800"/>
        <w:gridCol w:w="1200"/>
        <w:gridCol w:w="350"/>
        <w:gridCol w:w="500"/>
        <w:gridCol w:w="350"/>
        <w:gridCol w:w="500"/>
        <w:gridCol w:w="900"/>
        <w:gridCol w:w="2057"/>
      </w:tblGrid>
      <w:tr>
        <w:tc>
          <w:tcPr>
            <w:tcW w:type="dxa" w:w="28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No.</w:t>
            </w:r>
          </w:p>
        </w:tc>
        <w:tc>
          <w:tcPr>
            <w:tcW w:type="dxa" w:w="180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Uraian Kebutuhan</w:t>
            </w:r>
          </w:p>
        </w:tc>
        <w:tc>
          <w:tcPr>
            <w:tcW w:type="dxa" w:w="120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Spesifikasi</w:t>
            </w:r>
          </w:p>
        </w:tc>
        <w:tc>
          <w:tcPr>
            <w:tcW w:type="dxa" w:w="35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Jml</w:t>
            </w:r>
          </w:p>
        </w:tc>
        <w:tc>
          <w:tcPr>
            <w:tcW w:type="dxa" w:w="50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Satuan</w:t>
            </w:r>
          </w:p>
        </w:tc>
        <w:tc>
          <w:tcPr>
            <w:tcW w:type="dxa" w:w="35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Frek.</w:t>
            </w:r>
          </w:p>
        </w:tc>
        <w:tc>
          <w:tcPr>
            <w:tcW w:type="dxa" w:w="50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Satuan</w:t>
            </w:r>
          </w:p>
        </w:tc>
        <w:tc>
          <w:tcPr>
            <w:tcW w:type="dxa" w:w="900"/>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Harga Satuan (Rp)</w:t>
            </w:r>
          </w:p>
        </w:tc>
        <w:tc>
          <w:tcPr>
            <w:tcW w:type="dxa" w:w="2057"/>
            <w:tcBorders>
              <w:top w:val="single" w:color="999999" w:sz="1"/>
              <w:left w:val="single" w:color="999999" w:sz="1"/>
              <w:bottom w:val="single" w:color="999999" w:sz="1"/>
              <w:right w:val="single" w:color="999999" w:sz="1"/>
            </w:tcBorders>
            <w:shd w:fill="1F4E79" w:val="clear"/>
            <w:tcMar>
              <w:top w:type="dxa" w:w="70"/>
              <w:left w:type="dxa" w:w="90"/>
              <w:bottom w:type="dxa" w:w="70"/>
              <w:right w:type="dxa" w:w="90"/>
            </w:tcMar>
          </w:tcPr>
          <w:p>
            <w:pPr>
              <w:spacing w:line="220"/>
              <w:jc w:val="center"/>
            </w:pPr>
            <w:r>
              <w:rPr>
                <w:rFonts w:ascii="Times New Roman" w:cs="Times New Roman" w:eastAsia="Times New Roman" w:hAnsi="Times New Roman"/>
                <w:b/>
                <w:bCs/>
                <w:color w:val="FFFFFF"/>
                <w:sz w:val="17"/>
                <w:szCs w:val="17"/>
              </w:rPr>
              <w:t xml:space="preserve">Jumlah (Rp)</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1.  KAJIAN OPK-CB  —  80% dari Total Anggaran</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a.  Honorarium Tim Peneliti</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72.000.000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Peneliti Utama</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Koordinator ilmiah dan administratif</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10</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40.000.000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Co-Researcher (Etnograf)</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Tenaga ahli etnografi lapangan</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6</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18.000.000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Asisten Lapangan Lokal</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Anggota komunitas Dayak Kanayatn</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800.000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8.000.000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Konsultan Adat</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Pemangku adat Dayak Kanayatn senior</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12</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Sesi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6.000.000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b.  Perjalanan Lapangan</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42.000.000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Transportasi lapangan (5 trip)</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Kendaraan sewa PP Pontianak–Landak</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Trip</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4.200.000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21.000.000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6</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Akomodasi lapangan Fase 1–3</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Homestay/penginapan lokal (4 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30</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Hari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175.000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21.000.000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c.  Bahan Habis Pakai dan Logistik</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10.000.000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ATK dan media penyimpanan</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Buku catatan, pena, flashdisk, SD card</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Baterai dan aksesori perekaman</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Baterai cadangan, charger, kabel</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2.000.000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Perlengkapan lapangan</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Jas hujan, sepatu lapangan (5 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700.000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10</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Konsumsi harian lapangan</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Konsumsi tim (5 orang × 30 hari)</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30</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Hari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1.500.000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d.  Sewa Peralatan Dokumentasi</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9.000.000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Sewa kamera DSLR dan lensa</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Kualitas dokumentasi budaya tinggi</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Unit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600.000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4.800.000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12</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Sewa voice recorder digital</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Wawancara mendalam dan FGD</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Unit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262.500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4.200.000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e.  Kegiatan FGD, Workshop, dan Validasi</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21.000.000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Konsumsi FGD (4 sesi)</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Makan siang dan snack peserta</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35</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Sesi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80.000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11.200.000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14</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fasilitator FGD</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Tenaga ahli fasilitasi partisipatif</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Sesi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800.000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3.200.000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Konsumsi workshop validasi komunitas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Makan dan snack (1 hari penuh)</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60</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Hari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80.000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4.800.000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16</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Perlengkapan FGD</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Kertas plano, spidol, ATK FGD</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Sesi</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450.000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1.800.000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f.  Transkripsi, Analisis, dan Penulisan Naskah</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23.000.000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Jasa transkripsi audio profesional</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Transkripsi verbatim wawancara dan FGD</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20</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Jam</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7.000.000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18</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Lisensi software analisis kualitatif</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ATLAS.ti atau MAXQDA (1 tahun)</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Lisensi</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Tahun</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Jasa layout dan desain naskah buku</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Desainer layout profesional</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Naskah</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7.500.000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7.500.000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20</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Penerjemahan abstrak ke Inggris</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Jasa penerjemah profesional</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Dokumen</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Cetak dan penjilidan draft review</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Draft untuk tim dan reviewer</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Eks.</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250.000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g.  Perizinan dan Administrasi Riset</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5.000.000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Pengurusan izin Kesbangpol dan Dinasbudpar</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Perizinan penelitian resmi daerah</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1.500.000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1.500.000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23</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Biaya administrasi dan notifikasi adat</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Sesuai ketentuan adat setempat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h.  Biaya Publikasi Akademik</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18.000.000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24</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Biaya submit/publikasi jurnal SINTA 1–3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Jurnal terakreditasi nasional</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Artikel</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25</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Biaya submit/publikasi jurnal internasional</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Jurnal terindeks Scopus (opsional)</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Artikel</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7.000.000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7.000.000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enumerator/transkriptor</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Mahasiswa pascasarjana terlatih</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Bulan</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1.500.000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6.000.000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SUBTOTAL KAJIAN OPK-CB  (80%)</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200.000.000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2.  DISEMINASI KARYA  —  20% dari Total Anggaran</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a.  Seminar Diseminasi Hasil Kajian</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25.500.000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Sewa ruang seminar dan fasilitas (1 hari)</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Kapasitas ≥100 orang, proyektor, sound</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Hari</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6.000.000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6.000.000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28</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Konsumsi seminar</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Makan siang dan coffee break 80 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80</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Hari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125.000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Honor pembicara tamu</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Ahli etnomatematika dan antropologi</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Sesi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30</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Perlengkapan seminar</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Backdrop, spanduk, ID card, bahan seminar</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Dokumentasi seminar</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Jasa fotografer dan videografer</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Hari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Transport peserta komunitas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Ongkos peserta dari Kabupaten Landak</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20</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125.000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2.500.000 → Rp 2.500.000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a (lanjutan)  Transport komunitas</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2.500.000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32b</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Transport peserta komunitas dari Landak</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Ongkos peserta komunitas adat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20</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Orang</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125.000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2.500.000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b.  Pameran Dokumentasi Etnomatematika</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10.000.000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Sewa ruang pameran (2 hari)</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Ruang pameran indoor kapasitas medium</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34</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Desain dan cetak materi pameran</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Panel pameran, poster, caption, label</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Perlengkapan pameran</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Rak, display stand, pencahayaan tambahan</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c.  Cetak dan Distribusi Publikasi</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8.000.000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Cetak monograf ringkas untuk komunitas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Monograf populer Bahasa Indonesia</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100</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Eks.</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5.000.000</w:t>
            </w:r>
          </w:p>
        </w:tc>
      </w:tr>
      <w:tr>
        <w:tc>
          <w:tcPr>
            <w:tcW w:type="dxa" w:w="28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37</w:t>
            </w:r>
          </w:p>
        </w:tc>
        <w:tc>
          <w:tcPr>
            <w:tcW w:type="dxa" w:w="18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Cetak policy brief</w:t>
            </w:r>
          </w:p>
        </w:tc>
        <w:tc>
          <w:tcPr>
            <w:tcW w:type="dxa" w:w="12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Policy brief untuk Dinas Kebudayaan dan Pendidikan</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50</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Eks.</w:t>
            </w:r>
          </w:p>
        </w:tc>
        <w:tc>
          <w:tcPr>
            <w:tcW w:type="dxa" w:w="35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2F7FB"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40.000</w:t>
            </w:r>
          </w:p>
        </w:tc>
        <w:tc>
          <w:tcPr>
            <w:tcW w:type="dxa" w:w="2057"/>
            <w:tcBorders>
              <w:top w:val="single" w:color="999999" w:sz="1"/>
              <w:left w:val="single" w:color="999999" w:sz="1"/>
              <w:bottom w:val="single" w:color="999999" w:sz="1"/>
              <w:right w:val="single" w:color="999999" w:sz="1"/>
            </w:tcBorders>
            <w:shd w:fill="F2F7FB"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2.000.000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Pengiriman materi ke mitra</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Ongkir distribusi ke seluruh mitra daerah</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1.000.000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d.  Produksi Video Dokumenter</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3.000.000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39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Produksi dan editing video dokumenter</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Video 15–20 menit, color grading, sound</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Video</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3.000.000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e.  Pendaftaran Hak Kekayaan Intelektual</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3.500.000</w:t>
            </w:r>
          </w:p>
        </w:tc>
      </w:tr>
      <w:tr>
        <w:tc>
          <w:tcPr>
            <w:tcW w:type="dxa" w:w="28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40</w:t>
            </w:r>
          </w:p>
        </w:tc>
        <w:tc>
          <w:tcPr>
            <w:tcW w:type="dxa" w:w="18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Biaya pendaftaran HKI (Pencatatan Ciptaan)</w:t>
            </w:r>
          </w:p>
        </w:tc>
        <w:tc>
          <w:tcPr>
            <w:tcW w:type="dxa" w:w="12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Ditjen KI Kemenkumham RI</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Paket</w:t>
            </w:r>
          </w:p>
        </w:tc>
        <w:tc>
          <w:tcPr>
            <w:tcW w:type="dxa" w:w="35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center"/>
            </w:pPr>
            <w:r>
              <w:rPr>
                <w:rFonts w:ascii="Times New Roman" w:cs="Times New Roman" w:eastAsia="Times New Roman" w:hAnsi="Times New Roman"/>
                <w:b w:val="false"/>
                <w:bCs w:val="false"/>
                <w:color w:val="000000"/>
                <w:sz w:val="20"/>
                <w:szCs w:val="20"/>
              </w:rPr>
              <w:t xml:space="preserve">1</w:t>
            </w:r>
          </w:p>
        </w:tc>
        <w:tc>
          <w:tcPr>
            <w:tcW w:type="dxa" w:w="500"/>
            <w:tcBorders>
              <w:top w:val="single" w:color="999999" w:sz="1"/>
              <w:left w:val="single" w:color="999999" w:sz="1"/>
              <w:bottom w:val="single" w:color="999999" w:sz="1"/>
              <w:right w:val="single" w:color="999999" w:sz="1"/>
            </w:tcBorders>
            <w:shd w:fill="FFFFFF" w:val="clear"/>
            <w:tcMar>
              <w:top w:type="dxa" w:w="80"/>
              <w:left w:type="dxa" w:w="110"/>
              <w:bottom w:type="dxa" w:w="80"/>
              <w:right w:type="dxa" w:w="110"/>
            </w:tcMar>
            <w:vAlign w:val="center"/>
          </w:tcPr>
          <w:p>
            <w:pPr>
              <w:spacing w:line="230"/>
              <w:jc w:val="left"/>
            </w:pPr>
            <w:r>
              <w:rPr>
                <w:rFonts w:ascii="Times New Roman" w:cs="Times New Roman" w:eastAsia="Times New Roman" w:hAnsi="Times New Roman"/>
                <w:b w:val="false"/>
                <w:bCs w:val="false"/>
                <w:color w:val="000000"/>
                <w:sz w:val="20"/>
                <w:szCs w:val="20"/>
              </w:rPr>
              <w:t xml:space="preserve">Kali</w:t>
            </w:r>
          </w:p>
        </w:tc>
        <w:tc>
          <w:tcPr>
            <w:tcW w:type="dxa" w:w="900"/>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c>
          <w:tcPr>
            <w:tcW w:type="dxa" w:w="2057"/>
            <w:tcBorders>
              <w:top w:val="single" w:color="999999" w:sz="1"/>
              <w:left w:val="single" w:color="999999" w:sz="1"/>
              <w:bottom w:val="single" w:color="999999" w:sz="1"/>
              <w:right w:val="single" w:color="999999" w:sz="1"/>
            </w:tcBorders>
            <w:shd w:fill="FFFFFF" w:val="clear"/>
            <w:tcMar>
              <w:top w:type="dxa" w:w="60"/>
              <w:left w:type="dxa" w:w="90"/>
              <w:bottom w:type="dxa" w:w="60"/>
              <w:right w:type="dxa" w:w="90"/>
            </w:tcMar>
          </w:tcPr>
          <w:p>
            <w:pPr>
              <w:spacing w:line="220"/>
              <w:jc w:val="right"/>
            </w:pPr>
            <w:r>
              <w:rPr>
                <w:rFonts w:ascii="Times New Roman" w:cs="Times New Roman" w:eastAsia="Times New Roman" w:hAnsi="Times New Roman"/>
                <w:sz w:val="19"/>
                <w:szCs w:val="19"/>
              </w:rPr>
              <w:t xml:space="preserve">Rp 3.500.000</w:t>
            </w:r>
          </w:p>
        </w:tc>
      </w:tr>
      <w:tr>
        <w:tc>
          <w:tcPr>
            <w:tcW w:type="dxa" w:w="5880"/>
            <w:gridSpan w:val="8"/>
            <w:tcBorders>
              <w:top w:val="single" w:color="999999" w:sz="1"/>
              <w:left w:val="single" w:color="999999" w:sz="1"/>
              <w:bottom w:val="single" w:color="999999" w:sz="1"/>
              <w:right w:val="single" w:color="999999" w:sz="1"/>
            </w:tcBorders>
            <w:shd w:fill="D6E4F0" w:val="clear"/>
            <w:tcMar>
              <w:top w:type="dxa" w:w="70"/>
              <w:left w:type="dxa" w:w="130"/>
              <w:bottom w:type="dxa" w:w="70"/>
              <w:right w:type="dxa" w:w="110"/>
            </w:tcMar>
          </w:tcPr>
          <w:p>
            <w:pPr>
              <w:spacing w:line="230"/>
            </w:pPr>
            <w:r>
              <w:rPr>
                <w:rFonts w:ascii="Times New Roman" w:cs="Times New Roman" w:eastAsia="Times New Roman" w:hAnsi="Times New Roman"/>
                <w:b/>
                <w:bCs/>
                <w:sz w:val="19"/>
                <w:szCs w:val="19"/>
              </w:rPr>
              <w:t xml:space="preserve">   SUBTOTAL DISEMINASI KARYA  (20%)</w:t>
            </w:r>
          </w:p>
        </w:tc>
        <w:tc>
          <w:tcPr>
            <w:tcW w:type="dxa" w:w="2057"/>
            <w:tcBorders>
              <w:top w:val="single" w:color="999999" w:sz="1"/>
              <w:left w:val="single" w:color="999999" w:sz="1"/>
              <w:bottom w:val="single" w:color="999999" w:sz="1"/>
              <w:right w:val="single" w:color="999999" w:sz="1"/>
            </w:tcBorders>
            <w:shd w:fill="D6E4F0" w:val="clear"/>
            <w:tcMar>
              <w:top w:type="dxa" w:w="70"/>
              <w:left w:type="dxa" w:w="90"/>
              <w:bottom w:type="dxa" w:w="70"/>
              <w:right w:type="dxa" w:w="90"/>
            </w:tcMar>
          </w:tcPr>
          <w:p>
            <w:pPr>
              <w:spacing w:line="230"/>
              <w:jc w:val="right"/>
            </w:pPr>
            <w:r>
              <w:rPr>
                <w:rFonts w:ascii="Times New Roman" w:cs="Times New Roman" w:eastAsia="Times New Roman" w:hAnsi="Times New Roman"/>
                <w:b/>
                <w:bCs/>
                <w:sz w:val="19"/>
                <w:szCs w:val="19"/>
              </w:rPr>
              <w:t xml:space="preserve">Rp 50.000.000</w:t>
            </w:r>
          </w:p>
        </w:tc>
      </w:tr>
      <w:tr>
        <w:tc>
          <w:tcPr>
            <w:tcW w:type="dxa" w:w="5880"/>
            <w:gridSpan w:val="8"/>
            <w:tcBorders>
              <w:top w:val="single" w:color="999999" w:sz="1"/>
              <w:left w:val="single" w:color="999999" w:sz="1"/>
              <w:bottom w:val="single" w:color="999999" w:sz="1"/>
              <w:right w:val="single" w:color="999999" w:sz="1"/>
            </w:tcBorders>
            <w:shd w:fill="1F4E79" w:val="clear"/>
            <w:tcMar>
              <w:top w:type="dxa" w:w="80"/>
              <w:left w:type="dxa" w:w="130"/>
              <w:bottom w:type="dxa" w:w="80"/>
              <w:right w:type="dxa" w:w="110"/>
            </w:tcMar>
          </w:tcPr>
          <w:p>
            <w:pPr>
              <w:spacing w:line="230"/>
            </w:pPr>
            <w:r>
              <w:rPr>
                <w:rFonts w:ascii="Times New Roman" w:cs="Times New Roman" w:eastAsia="Times New Roman" w:hAnsi="Times New Roman"/>
                <w:b/>
                <w:bCs/>
                <w:color w:val="FFFFFF"/>
                <w:sz w:val="20"/>
                <w:szCs w:val="20"/>
              </w:rPr>
              <w:t xml:space="preserve">JUMLAH TOTAL (termasuk estimasi pajak PPh Psl. 21/23)</w:t>
            </w:r>
          </w:p>
        </w:tc>
        <w:tc>
          <w:tcPr>
            <w:tcW w:type="dxa" w:w="2057"/>
            <w:tcBorders>
              <w:top w:val="single" w:color="999999" w:sz="1"/>
              <w:left w:val="single" w:color="999999" w:sz="1"/>
              <w:bottom w:val="single" w:color="999999" w:sz="1"/>
              <w:right w:val="single" w:color="999999" w:sz="1"/>
            </w:tcBorders>
            <w:shd w:fill="1F4E79" w:val="clear"/>
            <w:tcMar>
              <w:top w:type="dxa" w:w="80"/>
              <w:left w:type="dxa" w:w="90"/>
              <w:bottom w:type="dxa" w:w="80"/>
              <w:right w:type="dxa" w:w="90"/>
            </w:tcMar>
          </w:tcPr>
          <w:p>
            <w:pPr>
              <w:spacing w:line="230"/>
              <w:jc w:val="right"/>
            </w:pPr>
            <w:r>
              <w:rPr>
                <w:rFonts w:ascii="Times New Roman" w:cs="Times New Roman" w:eastAsia="Times New Roman" w:hAnsi="Times New Roman"/>
                <w:b/>
                <w:bCs/>
                <w:color w:val="FFFFFF"/>
                <w:sz w:val="20"/>
                <w:szCs w:val="20"/>
              </w:rPr>
              <w:t xml:space="preserve">Rp 250.000.000,-</w:t>
            </w:r>
          </w:p>
        </w:tc>
      </w:tr>
    </w:tbl>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Terbilang: Dua Ratus Lima Puluh Juta Rupiah</w:t>
      </w:r>
    </w:p>
    <w:p>
      <w:pPr>
        <w:spacing w:after="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b/>
          <w:bCs/>
          <w:i w:val="false"/>
          <w:iCs w:val="false"/>
          <w:sz w:val="24"/>
          <w:szCs w:val="24"/>
        </w:rPr>
        <w:t xml:space="preserve">Catatan:</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Seluruh biaya sudah mencakup estimasi pajak PPh Pasal 21 untuk honorarium dan PPh Pasal 23 untuk jasa profesi, yang dibayarkan oleh Penerima Manfaat sesuai ketentuan perpajakan yang berlaku.</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Tidak terdapat pembelian aset tetap (masa manfaat &gt;1 tahun). Seluruh peralatan berupa sewa.</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Komposisi anggaran: Kajian OPK-CB Rp 200.000.000 (80%) dan Diseminasi Karya Rp 50.000.000 (20%) dari total Rp 250.000.000.</w:t>
      </w:r>
    </w:p>
    <w:p>
      <w:pPr>
        <w:pStyle w:val="ListParagraph"/>
        <w:numPr>
          <w:ilvl w:val="0"/>
          <w:numId w:val="3"/>
        </w:numPr>
        <w:spacing w:after="80" w:before="0" w:line="276" w:lineRule="auto"/>
        <w:jc w:val="both"/>
      </w:pPr>
      <w:r>
        <w:rPr>
          <w:rFonts w:ascii="Times New Roman" w:cs="Times New Roman" w:eastAsia="Times New Roman" w:hAnsi="Times New Roman"/>
          <w:sz w:val="24"/>
          <w:szCs w:val="24"/>
        </w:rPr>
        <w:t xml:space="preserve">Tidak terdapat pengeluaran dalam kategori larangan sesuai Pedoman Program OPK-CB Dana Indonesiana 2025.</w:t>
      </w:r>
    </w:p>
    <w:p>
      <w:pPr>
        <w:spacing w:after="0" w:before="0"/>
      </w:pPr>
      <w:r>
        <w:rPr>
          <w:rFonts w:ascii="Times New Roman" w:cs="Times New Roman" w:eastAsia="Times New Roman" w:hAnsi="Times New Roman"/>
          <w:sz w:val="24"/>
          <w:szCs w:val="24"/>
        </w:rPr>
        <w:t xml:space="preserve"/>
      </w:r>
    </w:p>
    <w:p>
      <w:pPr>
        <w:spacing w:after="160" w:before="0" w:line="276" w:lineRule="auto"/>
        <w:jc w:val="right"/>
      </w:pPr>
      <w:r>
        <w:rPr>
          <w:rFonts w:ascii="Times New Roman" w:cs="Times New Roman" w:eastAsia="Times New Roman" w:hAnsi="Times New Roman"/>
          <w:b w:val="false"/>
          <w:bCs w:val="false"/>
          <w:i w:val="false"/>
          <w:iCs w:val="false"/>
          <w:sz w:val="24"/>
          <w:szCs w:val="24"/>
        </w:rPr>
        <w:t xml:space="preserve">[ISI_KOTA], [ISI_TANGGAL] 2025</w:t>
      </w:r>
    </w:p>
    <w:p>
      <w:pPr>
        <w:spacing w:after="160" w:before="0" w:line="276" w:lineRule="auto"/>
        <w:jc w:val="right"/>
      </w:pPr>
      <w:r>
        <w:rPr>
          <w:rFonts w:ascii="Times New Roman" w:cs="Times New Roman" w:eastAsia="Times New Roman" w:hAnsi="Times New Roman"/>
          <w:b w:val="false"/>
          <w:bCs w:val="false"/>
          <w:i w:val="false"/>
          <w:iCs w:val="false"/>
          <w:sz w:val="24"/>
          <w:szCs w:val="24"/>
        </w:rPr>
        <w:t xml:space="preserve">Pengusul,</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60" w:before="0" w:line="276" w:lineRule="auto"/>
        <w:jc w:val="right"/>
      </w:pPr>
      <w:r>
        <w:rPr>
          <w:rFonts w:ascii="Times New Roman" w:cs="Times New Roman" w:eastAsia="Times New Roman" w:hAnsi="Times New Roman"/>
          <w:b w:val="false"/>
          <w:bCs w:val="false"/>
          <w:i w:val="false"/>
          <w:iCs w:val="false"/>
          <w:sz w:val="24"/>
          <w:szCs w:val="24"/>
        </w:rPr>
        <w:t xml:space="preserve">Dr. Siti Suprihatiningsih, M.Pd</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line="276"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80" w:line="276"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line="276" w:lineRule="auto"/>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2026-05-06T14:51:07.386Z</dcterms:created>
  <dcterms:modified xsi:type="dcterms:W3CDTF">2026-05-06T14:51:07.397Z</dcterms:modified>
</cp:coreProperties>
</file>

<file path=docProps/custom.xml><?xml version="1.0" encoding="utf-8"?>
<Properties xmlns="http://schemas.openxmlformats.org/officeDocument/2006/custom-properties" xmlns:vt="http://schemas.openxmlformats.org/officeDocument/2006/docPropsVTypes"/>
</file>