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2E4057"/>
          <w:sz w:val="36"/>
          <w:szCs w:val="36"/>
        </w:rPr>
        <w:t xml:space="preserve">PROPOSAL KEGIATAN</w:t>
      </w:r>
    </w:p>
    <w:p>
      <w:pPr>
        <w:spacing w:after="240" w:before="240"/>
        <w:jc w:val="center"/>
      </w:pPr>
      <w:r>
        <w:rPr>
          <w:rFonts w:ascii="Arial" w:cs="Arial" w:eastAsia="Arial" w:hAnsi="Arial"/>
          <w:color w:val="555555"/>
          <w:sz w:val="28"/>
          <w:szCs w:val="28"/>
        </w:rPr>
        <w:t xml:space="preserve">PROGRAM DANA INDONESIANA</w:t>
      </w:r>
    </w:p>
    <w:p>
      <w:pPr>
        <w:spacing w:after="720" w:before="60"/>
        <w:jc w:val="center"/>
      </w:pPr>
      <w:r>
        <w:rPr>
          <w:rFonts w:ascii="Arial" w:cs="Arial" w:eastAsia="Arial" w:hAnsi="Arial"/>
          <w:i/>
          <w:iCs/>
          <w:color w:val="555555"/>
          <w:sz w:val="24"/>
          <w:szCs w:val="24"/>
        </w:rPr>
        <w:t xml:space="preserve">Kategori Kajian Objek Pemajuan Kebudayaan dan Cagar Budaya</w:t>
      </w:r>
    </w:p>
    <w:p>
      <w:pPr>
        <w:pBdr>
          <w:top w:val="single" w:color="2E4057" w:sz="8" w:space="1"/>
          <w:bottom w:val="single" w:color="2E4057" w:sz="8" w:space="1"/>
        </w:pBdr>
        <w:spacing w:after="240" w:before="720"/>
        <w:jc w:val="center"/>
      </w:pPr>
      <w:r>
        <w:rPr>
          <w:rFonts w:ascii="Arial" w:cs="Arial" w:eastAsia="Arial" w:hAnsi="Arial"/>
          <w:b/>
          <w:bCs/>
          <w:color w:val="1A1A2E"/>
          <w:sz w:val="32"/>
          <w:szCs w:val="32"/>
        </w:rPr>
        <w:t xml:space="preserve">Etnomatematika Siklus Padi Dayak Kanayatn di Landak:</w:t>
      </w:r>
    </w:p>
    <w:p>
      <w:pPr>
        <w:pBdr>
          <w:bottom w:val="single" w:color="2E4057" w:sz="8" w:space="1"/>
        </w:pBdr>
        <w:spacing w:after="720" w:before="0"/>
        <w:jc w:val="center"/>
      </w:pPr>
      <w:r>
        <w:rPr>
          <w:rFonts w:ascii="Arial" w:cs="Arial" w:eastAsia="Arial" w:hAnsi="Arial"/>
          <w:b/>
          <w:bCs/>
          <w:color w:val="1A1A2E"/>
          <w:sz w:val="32"/>
          <w:szCs w:val="32"/>
        </w:rPr>
        <w:t xml:space="preserve">Eksplorasi Pengetahuan Tradisional dan Ritus Pertanian</w:t>
      </w:r>
    </w:p>
    <w:p>
      <w:pPr>
        <w:spacing w:after="120" w:before="1440"/>
        <w:jc w:val="center"/>
      </w:pPr>
      <w:r>
        <w:rPr>
          <w:rFonts w:ascii="Arial" w:cs="Arial" w:eastAsia="Arial" w:hAnsi="Arial"/>
          <w:color w:val="555555"/>
          <w:sz w:val="24"/>
          <w:szCs w:val="24"/>
        </w:rPr>
        <w:t xml:space="preserve">Diajukan kepada:</w:t>
      </w:r>
    </w:p>
    <w:p>
      <w:pPr>
        <w:spacing w:after="120" w:before="0"/>
        <w:jc w:val="center"/>
      </w:pPr>
      <w:r>
        <w:rPr>
          <w:rFonts w:ascii="Arial" w:cs="Arial" w:eastAsia="Arial" w:hAnsi="Arial"/>
          <w:b/>
          <w:bCs/>
          <w:sz w:val="24"/>
          <w:szCs w:val="24"/>
        </w:rPr>
        <w:t xml:space="preserve">Manajemen Pelaksana Program Pemanfaatan Hasil Kelola Dana Abadi Kebudayaan</w:t>
      </w:r>
    </w:p>
    <w:p>
      <w:pPr>
        <w:spacing w:after="2880" w:before="120"/>
        <w:jc w:val="center"/>
      </w:pPr>
      <w:r>
        <w:rPr>
          <w:rFonts w:ascii="Arial" w:cs="Arial" w:eastAsia="Arial" w:hAnsi="Arial"/>
          <w:color w:val="555555"/>
          <w:sz w:val="24"/>
          <w:szCs w:val="24"/>
        </w:rPr>
        <w:t xml:space="preserve">Tahun 2025</w:t>
      </w:r>
    </w:p>
    <w:p>
      <w:r>
        <w:br w:type="page"/>
      </w:r>
    </w:p>
    <w:p>
      <w:pPr>
        <w:pStyle w:val="Heading1"/>
        <w:spacing w:after="180" w:before="360"/>
      </w:pPr>
      <w:r>
        <w:rPr>
          <w:rFonts w:ascii="Arial" w:cs="Arial" w:eastAsia="Arial" w:hAnsi="Arial"/>
          <w:b/>
          <w:bCs/>
          <w:color w:val="2E4057"/>
          <w:sz w:val="28"/>
          <w:szCs w:val="28"/>
        </w:rPr>
        <w:t xml:space="preserve">1. Ringkasan Eksekutif</w:t>
      </w:r>
    </w:p>
    <w:p>
      <w:pPr>
        <w:spacing w:after="120" w:before="120" w:line="360"/>
        <w:jc w:val="both"/>
      </w:pPr>
      <w:r>
        <w:rPr>
          <w:rFonts w:ascii="Arial" w:cs="Arial" w:eastAsia="Arial" w:hAnsi="Arial"/>
          <w:sz w:val="24"/>
          <w:szCs w:val="24"/>
        </w:rPr>
        <w:t xml:space="preserve">Proposal ini merupakan upaya pelestarian dan kodifikasi Objek Pemajuan Kebudayaan (OPK) melalui kajian ilmiah terhadap praktik pertanian tradisional Dayak Kanayatn di Kabupaten Landak, Kalimantan Barat, sejalan dengan tujuan Program Dana Indonesiana untuk mendorong penelitian berbasis masyarakat yang memperkuat saintifikasi elemen-elemen kebudayaan Indonesia.</w:t>
      </w:r>
    </w:p>
    <w:p>
      <w:pPr>
        <w:spacing w:after="120" w:before="120" w:line="360"/>
        <w:jc w:val="both"/>
      </w:pPr>
      <w:r>
        <w:rPr>
          <w:rFonts w:ascii="Arial" w:cs="Arial" w:eastAsia="Arial" w:hAnsi="Arial"/>
          <w:sz w:val="24"/>
          <w:szCs w:val="24"/>
        </w:rPr>
        <w:t xml:space="preserve">Penelitian ini bertujuan mendokumentasikan dan menganalisis dimensi etnomatematika yang terkandung dalam siklus padi masyarakat Dayak Kanayatn, mencakup ritus-ritus pertanian, sistem kalender pertanian, serta pengetahuan numerik dan geometris yang diwariskan secara lisan dan praktis lintas generasi. Lokasi penelitian dipilih di Kabupaten Landak karena komunitas Dayak Kanayatn di wilayah ini masih menjalankan praktik siklus padi secara aktif, sementara dokumentasi ilmiah yang tersedia masih sangat terbatas. Komunitas petani Dayak Kanayatn yang aktif menjalankan tradisi pertanian menjadi subjek utama kajian ini.</w:t>
      </w:r>
    </w:p>
    <w:p>
      <w:pPr>
        <w:spacing w:after="120" w:before="120" w:line="360"/>
        <w:jc w:val="both"/>
      </w:pPr>
      <w:r>
        <w:rPr>
          <w:rFonts w:ascii="Arial" w:cs="Arial" w:eastAsia="Arial" w:hAnsi="Arial"/>
          <w:sz w:val="24"/>
          <w:szCs w:val="24"/>
        </w:rPr>
        <w:t xml:space="preserve">Metode penelitian yang digunakan adalah etnografi partisipatif yang dipadukan dengan analisis etnomatematika. Pengumpulan data dilaksanakan melalui wawancara semiterstruktur bersama tetua adat dan petani, observasi langsung terhadap ritus pertanian, diskusi kelompok terfokus, serta dokumentasi audiovisual dan pengumpulan artefak nonsensitif.</w:t>
      </w:r>
    </w:p>
    <w:p>
      <w:pPr>
        <w:spacing w:after="120" w:before="120" w:line="360"/>
        <w:jc w:val="both"/>
      </w:pPr>
      <w:r>
        <w:rPr>
          <w:rFonts w:ascii="Arial" w:cs="Arial" w:eastAsia="Arial" w:hAnsi="Arial"/>
          <w:sz w:val="24"/>
          <w:szCs w:val="24"/>
        </w:rPr>
        <w:t xml:space="preserve">Keluaran utama yang dihasilkan mencakup naskah akademik yang siap dipublikasikan di jurnal ilmiah, monograf ringkas berbahasa Indonesia yang dapat diakses oleh komunitas dan pemangku kebijakan, serta video dokumenter pendek tentang ritus dan pengetahuan pertanian Dayak Kanayatn. Manfaat langsung bagi komunitas meliputi penguatan identitas budaya, tersedianya arsip pengetahuan yang dapat diwariskan kepada generasi muda, dan potensi integrasi konten lokal ke dalam kurikulum pendidikan dasar di Landak.</w:t>
      </w:r>
    </w:p>
    <w:p>
      <w:pPr>
        <w:spacing w:after="60" w:before="60"/>
      </w:pPr>
      <w:r>
        <w:t xml:space="preserve"/>
      </w:r>
    </w:p>
    <w:p>
      <w:r>
        <w:br w:type="page"/>
      </w:r>
    </w:p>
    <w:p>
      <w:pPr>
        <w:pStyle w:val="Heading1"/>
        <w:spacing w:after="180" w:before="360"/>
      </w:pPr>
      <w:r>
        <w:rPr>
          <w:rFonts w:ascii="Arial" w:cs="Arial" w:eastAsia="Arial" w:hAnsi="Arial"/>
          <w:b/>
          <w:bCs/>
          <w:color w:val="2E4057"/>
          <w:sz w:val="28"/>
          <w:szCs w:val="28"/>
        </w:rPr>
        <w:t xml:space="preserve">2. Latar Belakang</w:t>
      </w:r>
    </w:p>
    <w:p>
      <w:pPr>
        <w:spacing w:after="120" w:before="120" w:line="360"/>
        <w:jc w:val="both"/>
      </w:pPr>
      <w:r>
        <w:rPr>
          <w:rFonts w:ascii="Arial" w:cs="Arial" w:eastAsia="Arial" w:hAnsi="Arial"/>
          <w:b/>
          <w:bCs/>
          <w:sz w:val="24"/>
          <w:szCs w:val="24"/>
        </w:rPr>
        <w:t xml:space="preserve">Konteks Nasional. </w:t>
      </w:r>
      <w:r>
        <w:rPr>
          <w:rFonts w:ascii="Arial" w:cs="Arial" w:eastAsia="Arial" w:hAnsi="Arial"/>
          <w:sz w:val="24"/>
          <w:szCs w:val="24"/>
        </w:rPr>
        <w:t xml:space="preserve">Undang-Undang Nomor 5 Tahun 2017 tentang Pemajuan Kebudayaan menegaskan bahwa kodifikasi dan pelestarian Objek Pemajuan Kebudayaan merupakan kewajiban negara dan tanggung jawab seluruh warga. Program Dana Indonesiana hadir sebagai instrumen strategis untuk mendorong penelitian yang diinisiasi oleh masyarakat guna memperkuat basis ilmiah elemen-elemen kebudayaan Indonesia. Dokumentasi pengetahuan tradisional menjadi mendesak mengingat percepatan modernisasi dan perubahan sosial yang berpotensi menghilangkan kekayaan intelektual lokal sebelum sempat dicatat secara sistematis.</w:t>
      </w:r>
    </w:p>
    <w:p>
      <w:pPr>
        <w:spacing w:after="120" w:before="120" w:line="360"/>
        <w:jc w:val="both"/>
      </w:pPr>
      <w:r>
        <w:rPr>
          <w:rFonts w:ascii="Arial" w:cs="Arial" w:eastAsia="Arial" w:hAnsi="Arial"/>
          <w:b/>
          <w:bCs/>
          <w:sz w:val="24"/>
          <w:szCs w:val="24"/>
        </w:rPr>
        <w:t xml:space="preserve">Konteks Lokal. </w:t>
      </w:r>
      <w:r>
        <w:rPr>
          <w:rFonts w:ascii="Arial" w:cs="Arial" w:eastAsia="Arial" w:hAnsi="Arial"/>
          <w:sz w:val="24"/>
          <w:szCs w:val="24"/>
        </w:rPr>
        <w:t xml:space="preserve">Masyarakat Dayak Kanayatn merupakan salah satu sub-suku Dayak terbesar di Kalimantan Barat yang bermukim di wilayah Kabupaten Landak dan sekitarnya. Praktik pertanian padi ladang (nguma) menjadi inti kehidupan sosial, spiritual, dan ekonomi komunitas ini. Siklus padi tidak sekadar menyangkut aktivitas agrikultur; ia merupakan sistem pengetahuan holistik yang mencakup ritus adat seperti Naik Dango (syukuran panen), Babari (gotong royong pertanian), serta berbagai pantang larang dan penanda waktu yang berfungsi sebagai kalender pertanian. Setiap tahap siklus padi diiringi prosesi adat yang sarat makna sosialkultural, memperkuat kohesi komunitas dan hubungan manusia dengan alam.</w:t>
      </w:r>
    </w:p>
    <w:p>
      <w:pPr>
        <w:spacing w:after="120" w:before="120" w:line="360"/>
        <w:jc w:val="both"/>
      </w:pPr>
      <w:r>
        <w:rPr>
          <w:rFonts w:ascii="Arial" w:cs="Arial" w:eastAsia="Arial" w:hAnsi="Arial"/>
          <w:b/>
          <w:bCs/>
          <w:sz w:val="24"/>
          <w:szCs w:val="24"/>
        </w:rPr>
        <w:t xml:space="preserve">Aspek Etnomatematika. </w:t>
      </w:r>
      <w:r>
        <w:rPr>
          <w:rFonts w:ascii="Arial" w:cs="Arial" w:eastAsia="Arial" w:hAnsi="Arial"/>
          <w:sz w:val="24"/>
          <w:szCs w:val="24"/>
        </w:rPr>
        <w:t xml:space="preserve">Di balik praktik pertanian yang tampak sederhana, tersimpan sistem pengetahuan yang kaya akan elemen matematis. Perhitungan jumlah benih, pola tata ruang ladang, estimasi hasil panen, pembagian kerja berbasis sistem bilangan lokal, serta siklus bulan dan bintang sebagai penentu waktu tanam merupakan contoh nyata bagaimana matematika hadir dalam kehidupan sehari-hari komunitas Dayak Kanayatn. Simbolisme geometris pada motif anyaman, ukiran, dan perlengkapan ritus juga mengandung representasi matematis yang belum pernah dikaji secara sistematis dalam kerangka etnomatematika.</w:t>
      </w:r>
    </w:p>
    <w:p>
      <w:pPr>
        <w:spacing w:after="120" w:before="120" w:line="360"/>
        <w:jc w:val="both"/>
      </w:pPr>
      <w:r>
        <w:rPr>
          <w:rFonts w:ascii="Arial" w:cs="Arial" w:eastAsia="Arial" w:hAnsi="Arial"/>
          <w:b/>
          <w:bCs/>
          <w:sz w:val="24"/>
          <w:szCs w:val="24"/>
        </w:rPr>
        <w:t xml:space="preserve">Kesenjangan Penelitian. </w:t>
      </w:r>
      <w:r>
        <w:rPr>
          <w:rFonts w:ascii="Arial" w:cs="Arial" w:eastAsia="Arial" w:hAnsi="Arial"/>
          <w:sz w:val="24"/>
          <w:szCs w:val="24"/>
        </w:rPr>
        <w:t xml:space="preserve">Meskipun beberapa penelitian etnografi tentang Dayak Kanayatn telah dilakukan, kajian yang secara khusus mengintegrasikan perspektif etnomatematika dengan dokumentasi ritus pertanian masih sangat langka. Pengetahuan tradisional ini terancam punah seiring meninggalnya para tetua adat yang menjadi penjaga utama pengetahuan tersebut, sementara generasi muda semakin jarang terlibat dalam praktik tradisional. Hilangnya pengetahuan ini bukan hanya kerugian bagi komunitas, tetapi juga bagi perkembangan ilmu pengetahuan secara lebih luas, khususnya dalam kajian matematika lintas budaya dan etnopedagogi.</w:t>
      </w:r>
    </w:p>
    <w:p>
      <w:pPr>
        <w:spacing w:after="120" w:before="120" w:line="360"/>
        <w:jc w:val="both"/>
      </w:pPr>
      <w:r>
        <w:rPr>
          <w:rFonts w:ascii="Arial" w:cs="Arial" w:eastAsia="Arial" w:hAnsi="Arial"/>
          <w:b/>
          <w:bCs/>
          <w:sz w:val="24"/>
          <w:szCs w:val="24"/>
        </w:rPr>
        <w:t xml:space="preserve">Keterkaitan Kebijakan. </w:t>
      </w:r>
      <w:r>
        <w:rPr>
          <w:rFonts w:ascii="Arial" w:cs="Arial" w:eastAsia="Arial" w:hAnsi="Arial"/>
          <w:sz w:val="24"/>
          <w:szCs w:val="24"/>
        </w:rPr>
        <w:t xml:space="preserve">Penelitian ini secara langsung berkontribusi pada penguatan Data Pokok Kebudayaan Indonesia, khususnya dalam kategori pengetahuan tradisional dan sistem kepercayaan. Kajian ini selaras dengan tujuan Program Dana Indonesiana yang mendorong kodifikasi pengetahuan OPK, penelitian etnografi masyarakat lokal, serta penguatan data kebudayaan nasional. Pelaksanaan kegiatan dirancang dalam durasi 10 bulan dengan anggaran tidak melebihi Rp150.000.000, dengan alokasi minimal 80% untuk kegiatan kajian dan maksimal 20% untuk diseminasi, sesuai ketentuan panduan teknis OPKCB.</w:t>
      </w:r>
    </w:p>
    <w:p>
      <w:pPr>
        <w:spacing w:after="60" w:before="60"/>
      </w:pPr>
      <w:r>
        <w:t xml:space="preserve"/>
      </w:r>
    </w:p>
    <w:p>
      <w:r>
        <w:br w:type="page"/>
      </w:r>
    </w:p>
    <w:p>
      <w:pPr>
        <w:pStyle w:val="Heading1"/>
        <w:spacing w:after="180" w:before="360"/>
      </w:pPr>
      <w:r>
        <w:rPr>
          <w:rFonts w:ascii="Arial" w:cs="Arial" w:eastAsia="Arial" w:hAnsi="Arial"/>
          <w:b/>
          <w:bCs/>
          <w:color w:val="2E4057"/>
          <w:sz w:val="28"/>
          <w:szCs w:val="28"/>
        </w:rPr>
        <w:t xml:space="preserve">3. Tujuan dan Sasaran</w:t>
      </w:r>
    </w:p>
    <w:p>
      <w:pPr>
        <w:spacing w:after="120" w:before="120" w:line="360"/>
        <w:jc w:val="both"/>
      </w:pPr>
      <w:r>
        <w:rPr>
          <w:rFonts w:ascii="Arial" w:cs="Arial" w:eastAsia="Arial" w:hAnsi="Arial"/>
          <w:b/>
          <w:bCs/>
          <w:sz w:val="24"/>
          <w:szCs w:val="24"/>
        </w:rPr>
        <w:t xml:space="preserve">Tujuan Umum. </w:t>
      </w:r>
      <w:r>
        <w:rPr>
          <w:rFonts w:ascii="Arial" w:cs="Arial" w:eastAsia="Arial" w:hAnsi="Arial"/>
          <w:sz w:val="24"/>
          <w:szCs w:val="24"/>
        </w:rPr>
        <w:t xml:space="preserve">Penelitian ini bertujuan mendokumentasikan dan menganalisis secara komprehensif aspek-aspek etnomatematika yang terkandung dalam siklus padi masyarakat Dayak Kanayatn di Kabupaten Landak, Kalimantan Barat, dalam kurun waktu 10 bulan terhitung sejak penandatanganan perjanjian pendanaan.</w:t>
      </w:r>
    </w:p>
    <w:p>
      <w:pPr>
        <w:spacing w:after="120" w:before="120" w:line="360"/>
        <w:jc w:val="both"/>
      </w:pPr>
      <w:r>
        <w:rPr>
          <w:rFonts w:ascii="Arial" w:cs="Arial" w:eastAsia="Arial" w:hAnsi="Arial"/>
          <w:b/>
          <w:bCs/>
          <w:sz w:val="24"/>
          <w:szCs w:val="24"/>
        </w:rPr>
        <w:t xml:space="preserve">Tujuan Khusus 1. </w:t>
      </w:r>
      <w:r>
        <w:rPr>
          <w:rFonts w:ascii="Arial" w:cs="Arial" w:eastAsia="Arial" w:hAnsi="Arial"/>
          <w:sz w:val="24"/>
          <w:szCs w:val="24"/>
        </w:rPr>
        <w:t xml:space="preserve">Mengidentifikasi dan mendokumentasikan praktik ritual dalam siklus padi Dayak Kanayatn yang mengandung konsep-konsep numerik (sistem bilangan, perhitungan, pengukuran) dan geometris (pola, simetri, tata ruang) secara terukur melalui rekaman etnografis yang dapat diverifikasi.</w:t>
      </w:r>
    </w:p>
    <w:p>
      <w:pPr>
        <w:spacing w:after="120" w:before="120" w:line="360"/>
        <w:jc w:val="both"/>
      </w:pPr>
      <w:r>
        <w:rPr>
          <w:rFonts w:ascii="Arial" w:cs="Arial" w:eastAsia="Arial" w:hAnsi="Arial"/>
          <w:b/>
          <w:bCs/>
          <w:sz w:val="24"/>
          <w:szCs w:val="24"/>
        </w:rPr>
        <w:t xml:space="preserve">Tujuan Khusus 2. </w:t>
      </w:r>
      <w:r>
        <w:rPr>
          <w:rFonts w:ascii="Arial" w:cs="Arial" w:eastAsia="Arial" w:hAnsi="Arial"/>
          <w:sz w:val="24"/>
          <w:szCs w:val="24"/>
        </w:rPr>
        <w:t xml:space="preserve">Menganalisis mekanisme transmisi pengetahuan pertanian tradisional antargenerasi dalam komunitas Dayak Kanayatn, mencakup metode, media, dan aktor-aktor kunci yang terlibat dalam proses pewarisan pengetahuan tersebut.</w:t>
      </w:r>
    </w:p>
    <w:p>
      <w:pPr>
        <w:spacing w:after="120" w:before="120" w:line="360"/>
        <w:jc w:val="both"/>
      </w:pPr>
      <w:r>
        <w:rPr>
          <w:rFonts w:ascii="Arial" w:cs="Arial" w:eastAsia="Arial" w:hAnsi="Arial"/>
          <w:b/>
          <w:bCs/>
          <w:sz w:val="24"/>
          <w:szCs w:val="24"/>
        </w:rPr>
        <w:t xml:space="preserve">Tujuan Khusus 3. </w:t>
      </w:r>
      <w:r>
        <w:rPr>
          <w:rFonts w:ascii="Arial" w:cs="Arial" w:eastAsia="Arial" w:hAnsi="Arial"/>
          <w:sz w:val="24"/>
          <w:szCs w:val="24"/>
        </w:rPr>
        <w:t xml:space="preserve">Menyusun rekomendasi konkret untuk integrasi muatan lokal berbasis etnomatematika Dayak Kanayatn ke dalam materi pendidikan dasar di Kabupaten Landak, yang dapat diadopsi oleh Dinas Pendidikan dan Kebudayaan setempat.</w:t>
      </w:r>
    </w:p>
    <w:p>
      <w:pPr>
        <w:spacing w:after="120" w:before="120" w:line="360"/>
        <w:jc w:val="both"/>
      </w:pPr>
      <w:r>
        <w:rPr>
          <w:rFonts w:ascii="Arial" w:cs="Arial" w:eastAsia="Arial" w:hAnsi="Arial"/>
          <w:b/>
          <w:bCs/>
          <w:sz w:val="24"/>
          <w:szCs w:val="24"/>
        </w:rPr>
        <w:t xml:space="preserve">Sasaran. </w:t>
      </w:r>
      <w:r>
        <w:rPr>
          <w:rFonts w:ascii="Arial" w:cs="Arial" w:eastAsia="Arial" w:hAnsi="Arial"/>
          <w:sz w:val="24"/>
          <w:szCs w:val="24"/>
        </w:rPr>
        <w:t xml:space="preserve">Sasaran langsung penelitian ini adalah komunitas petani Dayak Kanayatn di Kabupaten Landak yang masih aktif menjalankan praktik siklus padi tradisional, khususnya para tetua adat, pemimpin ritual, dan petani yang menjadi penjaga utama pengetahuan lokal. Sasaran tidak langsung mencakup akademisi di bidang etnomatematika, pendidikan matematika, dan antropologi budaya; Dinas Kebudayaan dan Pendidikan Kabupaten Landak dan Provinsi Kalimantan Barat; serta sekolah dasar dan menengah yang berminat mengintegrasikan muatan lokal dalam kurikulumnya.</w:t>
      </w:r>
    </w:p>
    <w:p>
      <w:pPr>
        <w:spacing w:after="60" w:before="60"/>
      </w:pPr>
      <w:r>
        <w:t xml:space="preserve"/>
      </w:r>
    </w:p>
    <w:p>
      <w:r>
        <w:br w:type="page"/>
      </w:r>
    </w:p>
    <w:p>
      <w:pPr>
        <w:pStyle w:val="Heading1"/>
        <w:spacing w:after="180" w:before="360"/>
      </w:pPr>
      <w:r>
        <w:rPr>
          <w:rFonts w:ascii="Arial" w:cs="Arial" w:eastAsia="Arial" w:hAnsi="Arial"/>
          <w:b/>
          <w:bCs/>
          <w:color w:val="2E4057"/>
          <w:sz w:val="28"/>
          <w:szCs w:val="28"/>
        </w:rPr>
        <w:t xml:space="preserve">4. Metodologi dan Pendekatan</w:t>
      </w:r>
    </w:p>
    <w:p>
      <w:pPr>
        <w:spacing w:after="120" w:before="120" w:line="360"/>
        <w:jc w:val="both"/>
      </w:pPr>
      <w:r>
        <w:rPr>
          <w:rFonts w:ascii="Arial" w:cs="Arial" w:eastAsia="Arial" w:hAnsi="Arial"/>
          <w:b/>
          <w:bCs/>
          <w:sz w:val="24"/>
          <w:szCs w:val="24"/>
        </w:rPr>
        <w:t xml:space="preserve">Pendekatan Umum. </w:t>
      </w:r>
      <w:r>
        <w:rPr>
          <w:rFonts w:ascii="Arial" w:cs="Arial" w:eastAsia="Arial" w:hAnsi="Arial"/>
          <w:sz w:val="24"/>
          <w:szCs w:val="24"/>
        </w:rPr>
        <w:t xml:space="preserve">Penelitian ini menggunakan pendekatan kualitatif etnografis dengan fokus pada kerangka analitis etnomatematika. Pendekatan etnografi dipilih karena memungkinkan peneliti untuk memahami praktik-praktik budaya dalam konteksnya yang alamiah, melalui keterlibatan langsung dan berkepanjangan dengan komunitas. Kerangka etnomatematika digunakan untuk mengidentifikasi, mendeskripsikan, dan menganalisis konsep-konsep matematis yang muncul dalam praktik budaya sehari-hari masyarakat Dayak Kanayatn, sejalan dengan tradisi keilmuan yang dikembangkan oleh Ubiratan D'Ambrosio dan penerusnya.</w:t>
      </w:r>
    </w:p>
    <w:p>
      <w:pPr>
        <w:spacing w:after="120" w:before="120" w:line="360"/>
        <w:jc w:val="both"/>
      </w:pPr>
      <w:r>
        <w:rPr>
          <w:rFonts w:ascii="Arial" w:cs="Arial" w:eastAsia="Arial" w:hAnsi="Arial"/>
          <w:b/>
          <w:bCs/>
          <w:sz w:val="24"/>
          <w:szCs w:val="24"/>
        </w:rPr>
        <w:t xml:space="preserve">Teknik Pengumpulan Data. </w:t>
      </w:r>
      <w:r>
        <w:rPr>
          <w:rFonts w:ascii="Arial" w:cs="Arial" w:eastAsia="Arial" w:hAnsi="Arial"/>
          <w:sz w:val="24"/>
          <w:szCs w:val="24"/>
        </w:rPr>
        <w:t xml:space="preserve">Pengumpulan data dilakukan melalui lima teknik yang saling melengkapi. Pertama, observasi partisipatif dilaksanakan selama musim tanam dan panen untuk mendokumentasikan praktik siklus padi secara langsung. Kedua, wawancara semiterstruktur dilakukan dengan tetua adat, petani berpengalaman, dan pemimpin ritual untuk menggali pengetahuan mendalam tentang sistem bilangan, kalender pertanian, dan makna simbolis ritus. Ketiga, Diskusi Kelompok Terfokus (FGD) diselenggarakan untuk memvalidasi temuan awal dan mengeksplorasi perspektif kolektif komunitas. Keempat, dokumentasi audiovisual berupa rekaman video, foto, dan audio dilakukan untuk menangkap dimensi visual dan performatif dari ritus pertanian. Kelima, pengumpulan artefak nonsensitif seperti alat pertanian tradisional, motif anyaman, dan kalender pertanian lokal dilakukan dengan persetujuan komunitas.</w:t>
      </w:r>
    </w:p>
    <w:p>
      <w:pPr>
        <w:spacing w:after="120" w:before="120" w:line="360"/>
        <w:jc w:val="both"/>
      </w:pPr>
      <w:r>
        <w:rPr>
          <w:rFonts w:ascii="Arial" w:cs="Arial" w:eastAsia="Arial" w:hAnsi="Arial"/>
          <w:b/>
          <w:bCs/>
          <w:sz w:val="24"/>
          <w:szCs w:val="24"/>
        </w:rPr>
        <w:t xml:space="preserve">Strategi Sampling. </w:t>
      </w:r>
      <w:r>
        <w:rPr>
          <w:rFonts w:ascii="Arial" w:cs="Arial" w:eastAsia="Arial" w:hAnsi="Arial"/>
          <w:sz w:val="24"/>
          <w:szCs w:val="24"/>
        </w:rPr>
        <w:t xml:space="preserve">Pemilihan informan menggunakan dua strategi yang dikombinasikan. Purposive sampling diterapkan untuk mengidentifikasi informan kunci yang memiliki pengetahuan khusus dan mendalam tentang praktik pertanian adat, termasuk tetua adat, pemimpin ritual (baliatn), dan petani senior. Snowball sampling digunakan untuk memperluas jaringan informan berdasarkan rekomendasi dari informan kunci, sehingga peneliti dapat menjangkau pemegang pengetahuan yang mungkin kurang terekspos atau berdomisili di lokasi yang lebih terpencil.</w:t>
      </w:r>
    </w:p>
    <w:p>
      <w:pPr>
        <w:spacing w:after="120" w:before="120" w:line="360"/>
        <w:jc w:val="both"/>
      </w:pPr>
      <w:r>
        <w:rPr>
          <w:rFonts w:ascii="Arial" w:cs="Arial" w:eastAsia="Arial" w:hAnsi="Arial"/>
          <w:b/>
          <w:bCs/>
          <w:sz w:val="24"/>
          <w:szCs w:val="24"/>
        </w:rPr>
        <w:t xml:space="preserve">Analisis Data. </w:t>
      </w:r>
      <w:r>
        <w:rPr>
          <w:rFonts w:ascii="Arial" w:cs="Arial" w:eastAsia="Arial" w:hAnsi="Arial"/>
          <w:sz w:val="24"/>
          <w:szCs w:val="24"/>
        </w:rPr>
        <w:t xml:space="preserve">Proses analisis data mengikuti alur empat tahap. Pada tahap pertama, seluruh rekaman wawancara dan FGD ditranskripsi secara verbatim. Pada tahap kedua, transkripsi dikodekan menggunakan coding tematik untuk mengidentifikasi pola-pola berulang dan kategori-kategori konseptual yang relevan. Pada tahap ketiga, dilakukan analisis simbolik terhadap representasi numerik dan pola geometris yang ditemukan, dengan memetakan relasi antara praktik budaya dan konsep matematis yang mendasarinya. Pada tahap keempat, triangulasi data dilakukan dengan membandingkan temuan dari berbagai sumber (observasi, wawancara, artefak) untuk memastikan keandalan interpretasi.</w:t>
      </w:r>
    </w:p>
    <w:p>
      <w:pPr>
        <w:spacing w:after="120" w:before="120" w:line="360"/>
        <w:jc w:val="both"/>
      </w:pPr>
      <w:r>
        <w:rPr>
          <w:rFonts w:ascii="Arial" w:cs="Arial" w:eastAsia="Arial" w:hAnsi="Arial"/>
          <w:b/>
          <w:bCs/>
          <w:sz w:val="24"/>
          <w:szCs w:val="24"/>
        </w:rPr>
        <w:t xml:space="preserve">Validasi dan Etika Penelitian. </w:t>
      </w:r>
      <w:r>
        <w:rPr>
          <w:rFonts w:ascii="Arial" w:cs="Arial" w:eastAsia="Arial" w:hAnsi="Arial"/>
          <w:sz w:val="24"/>
          <w:szCs w:val="24"/>
        </w:rPr>
        <w:t xml:space="preserve">Validitas penelitian dijamin melalui member checking, di mana temuan awal dikonfirmasikan kepada informan kunci sebelum difinalisasi, serta melalui FGD validasi yang melibatkan komunitas secara lebih luas. Seluruh proses penelitian berpedoman pada prinsip-prinsip etika penelitian yang ketat: perolehan izin adat secara resmi dari perangkat adat setempat, pemberian informed consent kepada setiap informan, penerapan benefit sharing yang adil, dan anonymisasi identitas informan apabila diminta. Kepemilikan intelektual komunitas atas pengetahuan yang didokumentasikan diakui secara eksplisit dalam seluruh publikasi yang dihasilkan.</w:t>
      </w:r>
    </w:p>
    <w:p>
      <w:pPr>
        <w:spacing w:after="60" w:before="60"/>
      </w:pPr>
      <w:r>
        <w:t xml:space="preserve"/>
      </w:r>
    </w:p>
    <w:p>
      <w:r>
        <w:br w:type="page"/>
      </w:r>
    </w:p>
    <w:p>
      <w:pPr>
        <w:pStyle w:val="Heading1"/>
        <w:spacing w:after="180" w:before="360"/>
      </w:pPr>
      <w:r>
        <w:rPr>
          <w:rFonts w:ascii="Arial" w:cs="Arial" w:eastAsia="Arial" w:hAnsi="Arial"/>
          <w:b/>
          <w:bCs/>
          <w:color w:val="2E4057"/>
          <w:sz w:val="28"/>
          <w:szCs w:val="28"/>
        </w:rPr>
        <w:t xml:space="preserve">5. Timeline Kegiatan</w:t>
      </w:r>
    </w:p>
    <w:p>
      <w:pPr>
        <w:spacing w:after="120" w:before="120" w:line="360"/>
        <w:jc w:val="both"/>
      </w:pPr>
      <w:r>
        <w:rPr>
          <w:rFonts w:ascii="Arial" w:cs="Arial" w:eastAsia="Arial" w:hAnsi="Arial"/>
          <w:sz w:val="24"/>
          <w:szCs w:val="24"/>
        </w:rPr>
        <w:t xml:space="preserve">Kegiatan penelitian dirancang dalam 10 bulan, dibagi menjadi enam fase yang saling berkesinambungan: Persiapan (Bulan 1), Survei Pendahuluan (Bulan 2), Pengumpulan Data Intensif (Bulan 3-5), Analisis Awal (Bulan 6-7), Validasi Komunitas (Bulan 8), serta Produksi dan Diseminasi (Bulan 9-10).</w:t>
      </w:r>
    </w:p>
    <w:p>
      <w:pPr>
        <w:spacing w:after="120" w:before="120" w:line="360"/>
        <w:jc w:val="both"/>
      </w:pPr>
      <w:r>
        <w:rPr>
          <w:rFonts w:ascii="Arial" w:cs="Arial" w:eastAsia="Arial" w:hAnsi="Arial"/>
          <w:sz w:val="24"/>
          <w:szCs w:val="24"/>
        </w:rPr>
        <w:t xml:space="preserve">Penjadwalan setiap fase mempertimbangkan buffer waktu yang memadai untuk mengantisipasi faktor-faktor di luar kendali tim peneliti, terutama cuaca musim hujan yang dapat menghambat mobilitas di lapangan serta jadwal ritus adat yang bergantung sepenuhnya pada kalender pertanian komunitas. Fleksibilitas jadwal dalam fase pengumpulan data (Bulan 3-5) secara khusus dirancang agar tim dapat menyesuaikan diri dengan waktu pelaksanaan ritus-ritus penting seperti Naik Dango dan Babari.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300"/>
        <w:gridCol w:w="2200"/>
        <w:gridCol w:w="1826"/>
      </w:tblGrid>
      <w:tr>
        <w:trPr>
          <w:tblHeader/>
        </w:trPr>
        <w:tc>
          <w:tcPr>
            <w:tcW w:type="dxa" w:w="5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w:t>
            </w:r>
          </w:p>
        </w:tc>
        <w:tc>
          <w:tcPr>
            <w:tcW w:type="dxa" w:w="22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Tahap Kegiatan</w:t>
            </w:r>
          </w:p>
        </w:tc>
        <w:tc>
          <w:tcPr>
            <w:tcW w:type="dxa" w:w="23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Periode</w:t>
            </w:r>
          </w:p>
        </w:tc>
        <w:tc>
          <w:tcPr>
            <w:tcW w:type="dxa" w:w="22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Output</w:t>
            </w:r>
          </w:p>
        </w:tc>
        <w:tc>
          <w:tcPr>
            <w:tcW w:type="dxa" w:w="1826"/>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Keterangan</w:t>
            </w:r>
          </w:p>
        </w:tc>
      </w:tr>
      <w:tr>
        <w:tc>
          <w:tcPr>
            <w:tcW w:type="dxa" w:w="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Persiapan administrasi dan perizinan</w:t>
            </w:r>
          </w:p>
        </w:tc>
        <w:tc>
          <w:tcPr>
            <w:tcW w:type="dxa" w:w="2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Bulan 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Izin adat, perizinan resmi, instrumen awal</w:t>
            </w:r>
          </w:p>
        </w:tc>
        <w:tc>
          <w:tcPr>
            <w:tcW w:type="dxa" w:w="18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Koordinasi dengan perangkat adat</w:t>
            </w:r>
          </w:p>
        </w:tc>
      </w:tr>
      <w:tr>
        <w:tc>
          <w:tcPr>
            <w:tcW w:type="dxa" w:w="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sz w:val="22"/>
                <w:szCs w:val="22"/>
              </w:rPr>
              <w:t xml:space="preserve">2</w:t>
            </w:r>
          </w:p>
        </w:tc>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Survei pendahuluan dan finalisasi instrumen</w:t>
            </w:r>
          </w:p>
        </w:tc>
        <w:tc>
          <w:tcPr>
            <w:tcW w:type="dxa" w:w="23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sz w:val="22"/>
                <w:szCs w:val="22"/>
              </w:rPr>
              <w:t xml:space="preserve">Bulan 2</w:t>
            </w:r>
          </w:p>
        </w:tc>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Peta informan, panduan wawancara final</w:t>
            </w:r>
          </w:p>
        </w:tc>
        <w:tc>
          <w:tcPr>
            <w:tcW w:type="dxa" w:w="182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Kunjungan awal ke lokasi penelitian</w:t>
            </w:r>
          </w:p>
        </w:tc>
      </w:tr>
      <w:tr>
        <w:tc>
          <w:tcPr>
            <w:tcW w:type="dxa" w:w="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Observasi dan wawancara intensif</w:t>
            </w:r>
          </w:p>
        </w:tc>
        <w:tc>
          <w:tcPr>
            <w:tcW w:type="dxa" w:w="2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Bulan 3-5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Rekaman audio/video, catatan lapangan, artefak</w:t>
            </w:r>
          </w:p>
        </w:tc>
        <w:tc>
          <w:tcPr>
            <w:tcW w:type="dxa" w:w="18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Mengikuti kalender ritual komunitas</w:t>
            </w:r>
          </w:p>
        </w:tc>
      </w:tr>
      <w:tr>
        <w:tc>
          <w:tcPr>
            <w:tcW w:type="dxa" w:w="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sz w:val="22"/>
                <w:szCs w:val="22"/>
              </w:rPr>
              <w:t xml:space="preserve">4</w:t>
            </w:r>
          </w:p>
        </w:tc>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Transkripsi dan analisis awal</w:t>
            </w:r>
          </w:p>
        </w:tc>
        <w:tc>
          <w:tcPr>
            <w:tcW w:type="dxa" w:w="23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sz w:val="22"/>
                <w:szCs w:val="22"/>
              </w:rPr>
              <w:t xml:space="preserve">Bulan 6-7</w:t>
            </w:r>
          </w:p>
        </w:tc>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Transkripsi, coding tematik, draf analisis</w:t>
            </w:r>
          </w:p>
        </w:tc>
        <w:tc>
          <w:tcPr>
            <w:tcW w:type="dxa" w:w="182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Bekerja dari lokasi peneliti utama</w:t>
            </w:r>
          </w:p>
        </w:tc>
      </w:tr>
      <w:tr>
        <w:tc>
          <w:tcPr>
            <w:tcW w:type="dxa" w:w="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Validasi komunitas (FGD)</w:t>
            </w:r>
          </w:p>
        </w:tc>
        <w:tc>
          <w:tcPr>
            <w:tcW w:type="dxa" w:w="2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Bulan 8</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Laporan validasi, revisi analisis</w:t>
            </w:r>
          </w:p>
        </w:tc>
        <w:tc>
          <w:tcPr>
            <w:tcW w:type="dxa" w:w="18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Konfirmasi temuan kepada komunitas</w:t>
            </w:r>
          </w:p>
        </w:tc>
      </w:tr>
      <w:tr>
        <w:tc>
          <w:tcPr>
            <w:tcW w:type="dxa" w:w="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sz w:val="22"/>
                <w:szCs w:val="22"/>
              </w:rPr>
              <w:t xml:space="preserve">6</w:t>
            </w:r>
          </w:p>
        </w:tc>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Produksi materi dan diseminasi</w:t>
            </w:r>
          </w:p>
        </w:tc>
        <w:tc>
          <w:tcPr>
            <w:tcW w:type="dxa" w:w="23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sz w:val="22"/>
                <w:szCs w:val="22"/>
              </w:rPr>
              <w:t xml:space="preserve">Bulan 9-10</w:t>
            </w:r>
          </w:p>
        </w:tc>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Naskah akademik, monograf, video, seminar</w:t>
            </w:r>
          </w:p>
        </w:tc>
        <w:tc>
          <w:tcPr>
            <w:tcW w:type="dxa" w:w="182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Seminar dan pameran hasil penelitian</w:t>
            </w:r>
          </w:p>
        </w:tc>
      </w:tr>
    </w:tbl>
    <w:p>
      <w:pPr>
        <w:spacing w:after="60" w:before="60"/>
      </w:pPr>
      <w:r>
        <w:t xml:space="preserve"/>
      </w:r>
    </w:p>
    <w:p>
      <w:r>
        <w:br w:type="page"/>
      </w:r>
    </w:p>
    <w:p>
      <w:pPr>
        <w:pStyle w:val="Heading1"/>
        <w:spacing w:after="180" w:before="360"/>
      </w:pPr>
      <w:r>
        <w:rPr>
          <w:rFonts w:ascii="Arial" w:cs="Arial" w:eastAsia="Arial" w:hAnsi="Arial"/>
          <w:b/>
          <w:bCs/>
          <w:color w:val="2E4057"/>
          <w:sz w:val="28"/>
          <w:szCs w:val="28"/>
        </w:rPr>
        <w:t xml:space="preserve">6. Rencana Anggaran Biaya</w:t>
      </w:r>
    </w:p>
    <w:p>
      <w:pPr>
        <w:spacing w:after="120" w:before="120" w:line="360"/>
        <w:jc w:val="both"/>
      </w:pPr>
      <w:r>
        <w:rPr>
          <w:rFonts w:ascii="Arial" w:cs="Arial" w:eastAsia="Arial" w:hAnsi="Arial"/>
          <w:b/>
          <w:bCs/>
          <w:sz w:val="24"/>
          <w:szCs w:val="24"/>
        </w:rPr>
        <w:t xml:space="preserve">Prinsip Penyusunan RAB. </w:t>
      </w:r>
      <w:r>
        <w:rPr>
          <w:rFonts w:ascii="Arial" w:cs="Arial" w:eastAsia="Arial" w:hAnsi="Arial"/>
          <w:sz w:val="24"/>
          <w:szCs w:val="24"/>
        </w:rPr>
        <w:t xml:space="preserve">Anggaran dirancang dengan total maksimal Rp150.000.000 (seratus lima puluh juta rupiah) sudah termasuk pajak, sesuai ketentuan Program Dana Indonesiana. Alokasi mengikuti kaidah yang ditetapkan: minimal 80% untuk kegiatan kajian OPK-CB dan maksimal 20% untuk kegiatan diseminasi karya. Seluruh komponen anggaran diarahkan pada pembelian barang habis pakai, sewa peralatan, honorarium, dan biaya operasional yang bersifat langsung mendukung kegiatan kajian. Tidak ada alokasi untuk pembelian aset tetap, pembangunan fisik, atau keperluan pribadi yang tidak berkaitan dengan kegiatan yang disepakati.</w:t>
      </w:r>
    </w:p>
    <w:p>
      <w:pPr>
        <w:spacing w:after="120" w:before="120" w:line="360"/>
        <w:jc w:val="both"/>
      </w:pPr>
      <w:r>
        <w:rPr>
          <w:rFonts w:ascii="Arial" w:cs="Arial" w:eastAsia="Arial" w:hAnsi="Arial"/>
          <w:b/>
          <w:bCs/>
          <w:sz w:val="24"/>
          <w:szCs w:val="24"/>
        </w:rPr>
        <w:t xml:space="preserve">Komponen Utama Anggaran. </w:t>
      </w:r>
      <w:r>
        <w:rPr>
          <w:rFonts w:ascii="Arial" w:cs="Arial" w:eastAsia="Arial" w:hAnsi="Arial"/>
          <w:sz w:val="24"/>
          <w:szCs w:val="24"/>
        </w:rPr>
        <w:t xml:space="preserve">Anggaran dibagi menjadi dua kelompok besar. Kelompok Kajian OPK-CB (80%) mencakup: (a) Personalia, yaitu honorarium peneliti utama, co-researcher, ahli etnomatematika, dua asisten lapangan lokal, serta konsultan adat; (b) Operasional lapangan, meliputi biaya transportasi udara dan darat, akomodasi selama di lapangan, dan konsumsi tim peneliti; (c) Dokumentasi, berupa sewa atau operasional peralatan rekam audiovisual, hard disk eksternal, dan kebutuhan dokumentasi lainnya; serta (d) Analisis dan penulisan, mencakup jasa editor bahasa, transkripsi rekaman, dan perangkat lunak analisis data kualitatif. Kelompok Diseminasi (20%) mencakup percetakan monograf, produksi video dokumenter, dan penyelenggaraan seminar atau pameran hasil penelitian.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2100"/>
        <w:gridCol w:w="1500"/>
        <w:gridCol w:w="1476"/>
      </w:tblGrid>
      <w:tr>
        <w:trPr>
          <w:tblHeader/>
        </w:trPr>
        <w:tc>
          <w:tcPr>
            <w:tcW w:type="dxa" w:w="45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w:t>
            </w:r>
          </w:p>
        </w:tc>
        <w:tc>
          <w:tcPr>
            <w:tcW w:type="dxa" w:w="35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Uraian Kegiatan</w:t>
            </w:r>
          </w:p>
        </w:tc>
        <w:tc>
          <w:tcPr>
            <w:tcW w:type="dxa" w:w="21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Volume</w:t>
            </w:r>
          </w:p>
        </w:tc>
        <w:tc>
          <w:tcPr>
            <w:tcW w:type="dxa" w:w="15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Estimasi Biaya</w:t>
            </w:r>
          </w:p>
        </w:tc>
        <w:tc>
          <w:tcPr>
            <w:tcW w:type="dxa" w:w="1476"/>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Persentase</w:t>
            </w:r>
          </w:p>
        </w:tc>
      </w:tr>
      <w:tr>
        <w:tc>
          <w:tcPr>
            <w:tcW w:type="dxa" w:w="45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A</w:t>
            </w:r>
          </w:p>
        </w:tc>
        <w:tc>
          <w:tcPr>
            <w:tcW w:type="dxa" w:w="3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left"/>
            </w:pPr>
            <w:r>
              <w:rPr>
                <w:rFonts w:ascii="Arial" w:cs="Arial" w:eastAsia="Arial" w:hAnsi="Arial"/>
                <w:b/>
                <w:bCs/>
                <w:sz w:val="22"/>
                <w:szCs w:val="22"/>
              </w:rPr>
              <w:t xml:space="preserve">KAJIAN OPK-CB (Minimal 80%)</w:t>
            </w:r>
          </w:p>
        </w:tc>
        <w:tc>
          <w:tcPr>
            <w:tcW w:type="dxa" w:w="21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
            </w:r>
          </w:p>
        </w:tc>
        <w:tc>
          <w:tcPr>
            <w:tcW w:type="dxa" w:w="1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~Rp 120.000.000</w:t>
            </w:r>
          </w:p>
        </w:tc>
        <w:tc>
          <w:tcPr>
            <w:tcW w:type="dxa" w:w="1476"/>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80%</w:t>
            </w:r>
          </w:p>
        </w:tc>
      </w:tr>
      <w:tr>
        <w:tc>
          <w:tcPr>
            <w:tcW w:type="dxa" w:w="45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A.1</w:t>
            </w:r>
          </w:p>
        </w:tc>
        <w:tc>
          <w:tcPr>
            <w:tcW w:type="dxa" w:w="3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Personalia (peneliti utama, co-researcher, ahli etnomatematika, asisten lapangan)</w:t>
            </w:r>
          </w:p>
        </w:tc>
        <w:tc>
          <w:tcPr>
            <w:tcW w:type="dxa" w:w="21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10 bulan</w:t>
            </w:r>
          </w:p>
        </w:tc>
        <w:tc>
          <w:tcPr>
            <w:tcW w:type="dxa" w:w="1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Rp 60.000.000</w:t>
            </w:r>
          </w:p>
        </w:tc>
        <w:tc>
          <w:tcPr>
            <w:tcW w:type="dxa" w:w="147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40%</w:t>
            </w:r>
          </w:p>
        </w:tc>
      </w:tr>
      <w:tr>
        <w:tc>
          <w:tcPr>
            <w:tcW w:type="dxa" w:w="45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A.2</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Operasional lapangan (transportasi, akomodasi, konsumsi)</w:t>
            </w:r>
          </w:p>
        </w:tc>
        <w:tc>
          <w:tcPr>
            <w:tcW w:type="dxa" w:w="21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5 bulan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Rp 30.000.000</w:t>
            </w:r>
          </w:p>
        </w:tc>
        <w:tc>
          <w:tcPr>
            <w:tcW w:type="dxa" w:w="147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20%</w:t>
            </w:r>
          </w:p>
        </w:tc>
      </w:tr>
      <w:tr>
        <w:tc>
          <w:tcPr>
            <w:tcW w:type="dxa" w:w="45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A.3</w:t>
            </w:r>
          </w:p>
        </w:tc>
        <w:tc>
          <w:tcPr>
            <w:tcW w:type="dxa" w:w="3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Dokumentasi (sewa/operasional peralatan rekam, hard disk)</w:t>
            </w:r>
          </w:p>
        </w:tc>
        <w:tc>
          <w:tcPr>
            <w:tcW w:type="dxa" w:w="21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Paket</w:t>
            </w:r>
          </w:p>
        </w:tc>
        <w:tc>
          <w:tcPr>
            <w:tcW w:type="dxa" w:w="1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Rp 15.000.000</w:t>
            </w:r>
          </w:p>
        </w:tc>
        <w:tc>
          <w:tcPr>
            <w:tcW w:type="dxa" w:w="147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10%</w:t>
            </w:r>
          </w:p>
        </w:tc>
      </w:tr>
      <w:tr>
        <w:tc>
          <w:tcPr>
            <w:tcW w:type="dxa" w:w="45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A.4</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Analisis dan penulisan (editor bahasa, transkripsi, software)</w:t>
            </w:r>
          </w:p>
        </w:tc>
        <w:tc>
          <w:tcPr>
            <w:tcW w:type="dxa" w:w="21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Paket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Rp 15.000.000</w:t>
            </w:r>
          </w:p>
        </w:tc>
        <w:tc>
          <w:tcPr>
            <w:tcW w:type="dxa" w:w="147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10%</w:t>
            </w:r>
          </w:p>
        </w:tc>
      </w:tr>
      <w:tr>
        <w:tc>
          <w:tcPr>
            <w:tcW w:type="dxa" w:w="45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B</w:t>
            </w:r>
          </w:p>
        </w:tc>
        <w:tc>
          <w:tcPr>
            <w:tcW w:type="dxa" w:w="3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left"/>
            </w:pPr>
            <w:r>
              <w:rPr>
                <w:rFonts w:ascii="Arial" w:cs="Arial" w:eastAsia="Arial" w:hAnsi="Arial"/>
                <w:b/>
                <w:bCs/>
                <w:sz w:val="22"/>
                <w:szCs w:val="22"/>
              </w:rPr>
              <w:t xml:space="preserve">DISEMINASI KARYA (Maksimal 20%)</w:t>
            </w:r>
          </w:p>
        </w:tc>
        <w:tc>
          <w:tcPr>
            <w:tcW w:type="dxa" w:w="21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
            </w:r>
          </w:p>
        </w:tc>
        <w:tc>
          <w:tcPr>
            <w:tcW w:type="dxa" w:w="1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~Rp 30.000.000</w:t>
            </w:r>
          </w:p>
        </w:tc>
        <w:tc>
          <w:tcPr>
            <w:tcW w:type="dxa" w:w="1476"/>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20%</w:t>
            </w:r>
          </w:p>
        </w:tc>
      </w:tr>
      <w:tr>
        <w:tc>
          <w:tcPr>
            <w:tcW w:type="dxa" w:w="45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B.1</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Percetakan monograf dan materi seminar</w:t>
            </w:r>
          </w:p>
        </w:tc>
        <w:tc>
          <w:tcPr>
            <w:tcW w:type="dxa" w:w="21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Paket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Rp 10.000.000</w:t>
            </w:r>
          </w:p>
        </w:tc>
        <w:tc>
          <w:tcPr>
            <w:tcW w:type="dxa" w:w="147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6,7%</w:t>
            </w:r>
          </w:p>
        </w:tc>
      </w:tr>
      <w:tr>
        <w:tc>
          <w:tcPr>
            <w:tcW w:type="dxa" w:w="45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B.2</w:t>
            </w:r>
          </w:p>
        </w:tc>
        <w:tc>
          <w:tcPr>
            <w:tcW w:type="dxa" w:w="3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Produksi video dokumenter (editing, subtitle)</w:t>
            </w:r>
          </w:p>
        </w:tc>
        <w:tc>
          <w:tcPr>
            <w:tcW w:type="dxa" w:w="21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Paket</w:t>
            </w:r>
          </w:p>
        </w:tc>
        <w:tc>
          <w:tcPr>
            <w:tcW w:type="dxa" w:w="15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Rp 10.000.000</w:t>
            </w:r>
          </w:p>
        </w:tc>
        <w:tc>
          <w:tcPr>
            <w:tcW w:type="dxa" w:w="147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6,7%</w:t>
            </w:r>
          </w:p>
        </w:tc>
      </w:tr>
      <w:tr>
        <w:tc>
          <w:tcPr>
            <w:tcW w:type="dxa" w:w="45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B.3</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Seminar/pameran hasil penelitian (sewa ruang, ATK, konsumsi)</w:t>
            </w:r>
          </w:p>
        </w:tc>
        <w:tc>
          <w:tcPr>
            <w:tcW w:type="dxa" w:w="21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1 kegiatan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Rp 10.000.000</w:t>
            </w:r>
          </w:p>
        </w:tc>
        <w:tc>
          <w:tcPr>
            <w:tcW w:type="dxa" w:w="147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center"/>
            </w:pPr>
            <w:r>
              <w:rPr>
                <w:rFonts w:ascii="Arial" w:cs="Arial" w:eastAsia="Arial" w:hAnsi="Arial"/>
                <w:b w:val="false"/>
                <w:bCs w:val="false"/>
                <w:sz w:val="22"/>
                <w:szCs w:val="22"/>
              </w:rPr>
              <w:t xml:space="preserve">6,7%</w:t>
            </w:r>
          </w:p>
        </w:tc>
      </w:tr>
      <w:tr>
        <w:tc>
          <w:tcPr>
            <w:tcW w:type="dxa" w:w="45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
            </w:r>
          </w:p>
        </w:tc>
        <w:tc>
          <w:tcPr>
            <w:tcW w:type="dxa" w:w="3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left"/>
            </w:pPr>
            <w:r>
              <w:rPr>
                <w:rFonts w:ascii="Arial" w:cs="Arial" w:eastAsia="Arial" w:hAnsi="Arial"/>
                <w:b/>
                <w:bCs/>
                <w:sz w:val="22"/>
                <w:szCs w:val="22"/>
              </w:rPr>
              <w:t xml:space="preserve">ESTIMASI PAJAK</w:t>
            </w:r>
          </w:p>
        </w:tc>
        <w:tc>
          <w:tcPr>
            <w:tcW w:type="dxa" w:w="21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
            </w:r>
          </w:p>
        </w:tc>
        <w:tc>
          <w:tcPr>
            <w:tcW w:type="dxa" w:w="1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Sudah termasuk dalam total</w:t>
            </w:r>
          </w:p>
        </w:tc>
        <w:tc>
          <w:tcPr>
            <w:tcW w:type="dxa" w:w="1476"/>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
            </w:r>
          </w:p>
        </w:tc>
      </w:tr>
      <w:tr>
        <w:tc>
          <w:tcPr>
            <w:tcW w:type="dxa" w:w="45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
            </w:r>
          </w:p>
        </w:tc>
        <w:tc>
          <w:tcPr>
            <w:tcW w:type="dxa" w:w="3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left"/>
            </w:pPr>
            <w:r>
              <w:rPr>
                <w:rFonts w:ascii="Arial" w:cs="Arial" w:eastAsia="Arial" w:hAnsi="Arial"/>
                <w:b/>
                <w:bCs/>
                <w:sz w:val="22"/>
                <w:szCs w:val="22"/>
              </w:rPr>
              <w:t xml:space="preserve">JUMLAH TOTAL</w:t>
            </w:r>
          </w:p>
        </w:tc>
        <w:tc>
          <w:tcPr>
            <w:tcW w:type="dxa" w:w="21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
            </w:r>
          </w:p>
        </w:tc>
        <w:tc>
          <w:tcPr>
            <w:tcW w:type="dxa" w:w="1500"/>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Rp 150.000.000</w:t>
            </w:r>
          </w:p>
        </w:tc>
        <w:tc>
          <w:tcPr>
            <w:tcW w:type="dxa" w:w="1476"/>
            <w:tcBorders>
              <w:top w:val="single" w:color="B0BEC5" w:sz="4"/>
              <w:left w:val="single" w:color="B0BEC5" w:sz="4"/>
              <w:bottom w:val="single" w:color="B0BEC5" w:sz="4"/>
              <w:right w:val="single" w:color="B0BEC5" w:sz="4"/>
            </w:tcBorders>
            <w:shd w:fill="D6E4F0" w:val="clear"/>
            <w:tcMar>
              <w:top w:type="dxa" w:w="100"/>
              <w:left w:type="dxa" w:w="140"/>
              <w:bottom w:type="dxa" w:w="100"/>
              <w:right w:type="dxa" w:w="140"/>
            </w:tcMar>
          </w:tcPr>
          <w:p>
            <w:pPr>
              <w:jc w:val="center"/>
            </w:pPr>
            <w:r>
              <w:rPr>
                <w:rFonts w:ascii="Arial" w:cs="Arial" w:eastAsia="Arial" w:hAnsi="Arial"/>
                <w:b/>
                <w:bCs/>
                <w:sz w:val="22"/>
                <w:szCs w:val="22"/>
              </w:rPr>
              <w:t xml:space="preserve">100%</w:t>
            </w:r>
          </w:p>
        </w:tc>
      </w:tr>
    </w:tbl>
    <w:p>
      <w:pPr>
        <w:spacing w:after="60" w:before="60"/>
      </w:pPr>
      <w:r>
        <w:t xml:space="preserve"/>
      </w:r>
    </w:p>
    <w:p>
      <w:pPr>
        <w:spacing w:after="120" w:before="120" w:line="360"/>
        <w:jc w:val="both"/>
      </w:pPr>
      <w:r>
        <w:rPr>
          <w:rFonts w:ascii="Arial" w:cs="Arial" w:eastAsia="Arial" w:hAnsi="Arial"/>
          <w:b/>
          <w:bCs/>
          <w:sz w:val="24"/>
          <w:szCs w:val="24"/>
        </w:rPr>
        <w:t xml:space="preserve">Catatan. </w:t>
      </w:r>
      <w:r>
        <w:rPr>
          <w:rFonts w:ascii="Arial" w:cs="Arial" w:eastAsia="Arial" w:hAnsi="Arial"/>
          <w:sz w:val="24"/>
          <w:szCs w:val="24"/>
        </w:rPr>
        <w:t xml:space="preserve">RAB rinci per komponen akan disusun mengikuti format standar yang ditetapkan dalam Panduan Teknis OPKCB, dilengkapi dengan data dukung berupa estimasi harga pasar, kwitansi referensi, dan standar honor profesi yang berlaku. Seluruh pengeluaran merupakan tanggung jawab penerima manfaat dan akan dipertanggungjawabkan sesuai ketentuan peraturan perundang-undangan yang berlaku.</w:t>
      </w:r>
    </w:p>
    <w:p>
      <w:pPr>
        <w:spacing w:after="60" w:before="60"/>
      </w:pPr>
      <w:r>
        <w:t xml:space="preserve"/>
      </w:r>
    </w:p>
    <w:p>
      <w:r>
        <w:br w:type="page"/>
      </w:r>
    </w:p>
    <w:p>
      <w:pPr>
        <w:pStyle w:val="Heading1"/>
        <w:spacing w:after="180" w:before="360"/>
      </w:pPr>
      <w:r>
        <w:rPr>
          <w:rFonts w:ascii="Arial" w:cs="Arial" w:eastAsia="Arial" w:hAnsi="Arial"/>
          <w:b/>
          <w:bCs/>
          <w:color w:val="2E4057"/>
          <w:sz w:val="28"/>
          <w:szCs w:val="28"/>
        </w:rPr>
        <w:t xml:space="preserve">7. Tim Pelaksana</w:t>
      </w:r>
    </w:p>
    <w:p>
      <w:pPr>
        <w:spacing w:after="120" w:before="120" w:line="360"/>
        <w:jc w:val="both"/>
      </w:pPr>
      <w:r>
        <w:rPr>
          <w:rFonts w:ascii="Arial" w:cs="Arial" w:eastAsia="Arial" w:hAnsi="Arial"/>
          <w:b/>
          <w:bCs/>
          <w:sz w:val="24"/>
          <w:szCs w:val="24"/>
        </w:rPr>
        <w:t xml:space="preserve">Struktur Tim. </w:t>
      </w:r>
      <w:r>
        <w:rPr>
          <w:rFonts w:ascii="Arial" w:cs="Arial" w:eastAsia="Arial" w:hAnsi="Arial"/>
          <w:sz w:val="24"/>
          <w:szCs w:val="24"/>
        </w:rPr>
        <w:t xml:space="preserve">Tim peneliti terdiri dari enam posisi yang dirancang untuk mencakup seluruh kebutuhan akademik, lapangan, dokumentasi, dan kultural penelitian ini. Komposisi tim memastikan keseimbangan antara keahlian ilmiah dan pemahaman lokal, yang merupakan prasyarat keberhasilan penelitian etnografis di komunitas adat.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Posisi</w:t>
            </w:r>
          </w:p>
        </w:tc>
        <w:tc>
          <w:tcPr>
            <w:tcW w:type="dxa" w:w="2000"/>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Peran Utama</w:t>
            </w:r>
          </w:p>
        </w:tc>
        <w:tc>
          <w:tcPr>
            <w:tcW w:type="dxa" w:w="4826"/>
            <w:tcBorders>
              <w:top w:val="single" w:color="B0BEC5" w:sz="4"/>
              <w:left w:val="single" w:color="B0BEC5" w:sz="4"/>
              <w:bottom w:val="single" w:color="B0BEC5" w:sz="4"/>
              <w:right w:val="single" w:color="B0BEC5" w:sz="4"/>
            </w:tcBorders>
            <w:shd w:fill="2E405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Tanggung Jawab</w:t>
            </w:r>
          </w:p>
        </w:tc>
      </w:tr>
      <w:t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Peneliti Utama</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Koordinator keseluruhan proyek</w:t>
            </w:r>
          </w:p>
        </w:tc>
        <w:tc>
          <w:tcPr>
            <w:tcW w:type="dxa" w:w="48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Bertanggung jawab atas desain metodologi, koordinasi tim, administrasi, pelaporan kemajuan, dan komunikasi dengan Manajemen Pelaksana. Memimpin pengumpulan dan analisis data.</w:t>
            </w:r>
          </w:p>
        </w:tc>
      </w:tr>
      <w:tr>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Co-Researcher (Etnograf)</w:t>
            </w:r>
          </w:p>
        </w:tc>
        <w:tc>
          <w:tcPr>
            <w:tcW w:type="dxa" w:w="20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Peneliti lapangan utama</w:t>
            </w:r>
          </w:p>
        </w:tc>
        <w:tc>
          <w:tcPr>
            <w:tcW w:type="dxa" w:w="482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Melaksanakan observasi partisipatif dan wawancara mendalam. Memiliki pengalaman penelitian etnografi di komunitas Dayak Kalimantan.</w:t>
            </w:r>
          </w:p>
        </w:tc>
      </w:tr>
      <w:t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Ahli Etnomatematika</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Konsultan analitik</w:t>
            </w:r>
          </w:p>
        </w:tc>
        <w:tc>
          <w:tcPr>
            <w:tcW w:type="dxa" w:w="48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Memberikan kerangka analitis etnomatematika, memandu proses coding dan analisis representasi numerik dan geometris dalam data lapangan.</w:t>
            </w:r>
          </w:p>
        </w:tc>
      </w:tr>
      <w:tr>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Asisten Lapangan Lokal (2 orang)</w:t>
            </w:r>
          </w:p>
        </w:tc>
        <w:tc>
          <w:tcPr>
            <w:tcW w:type="dxa" w:w="20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Fasilitator komunitas</w:t>
            </w:r>
          </w:p>
        </w:tc>
        <w:tc>
          <w:tcPr>
            <w:tcW w:type="dxa" w:w="482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Memfasilitasi akses ke komunitas, bertindak sebagai penerjemah bahasa Kanayatn, dan membantu dokumentasi lapangan. Berasal dari komunitas atau wilayah setempat.</w:t>
            </w:r>
          </w:p>
        </w:tc>
      </w:tr>
      <w:t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Videografer/Fotografer</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Dokumenter visual (kontrak)</w:t>
            </w:r>
          </w:p>
        </w:tc>
        <w:tc>
          <w:tcPr>
            <w:tcW w:type="dxa" w:w="48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Bertanggung jawab atas seluruh dokumentasi audiovisual, termasuk rekaman ritus, wawancara, dan produksi video dokumenter akhir.</w:t>
            </w:r>
          </w:p>
        </w:tc>
      </w:tr>
      <w:tr>
        <w:tc>
          <w:tcPr>
            <w:tcW w:type="dxa" w:w="22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Konsultan Adat</w:t>
            </w:r>
          </w:p>
        </w:tc>
        <w:tc>
          <w:tcPr>
            <w:tcW w:type="dxa" w:w="2000"/>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Penasihat budaya</w:t>
            </w:r>
          </w:p>
        </w:tc>
        <w:tc>
          <w:tcPr>
            <w:tcW w:type="dxa" w:w="4826"/>
            <w:tcBorders>
              <w:top w:val="single" w:color="B0BEC5" w:sz="4"/>
              <w:left w:val="single" w:color="B0BEC5" w:sz="4"/>
              <w:bottom w:val="single" w:color="B0BEC5" w:sz="4"/>
              <w:right w:val="single" w:color="B0BEC5" w:sz="4"/>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Memberikan panduan tentang protokol adat, membantu membangun kepercayaan komunitas, dan menvalidasi interpretasi kultural dari sudut pandang masyarakat Dayak Kanayatn.</w:t>
            </w:r>
          </w:p>
        </w:tc>
      </w:tr>
    </w:tbl>
    <w:p>
      <w:pPr>
        <w:spacing w:after="60" w:before="60"/>
      </w:pPr>
      <w:r>
        <w:t xml:space="preserve"/>
      </w:r>
    </w:p>
    <w:p>
      <w:pPr>
        <w:spacing w:after="120" w:before="120" w:line="360"/>
        <w:jc w:val="both"/>
      </w:pPr>
      <w:r>
        <w:rPr>
          <w:rFonts w:ascii="Arial" w:cs="Arial" w:eastAsia="Arial" w:hAnsi="Arial"/>
          <w:b/>
          <w:bCs/>
          <w:sz w:val="24"/>
          <w:szCs w:val="24"/>
        </w:rPr>
        <w:t xml:space="preserve">Kualifikasi dan Rekam Jejak. </w:t>
      </w:r>
      <w:r>
        <w:rPr>
          <w:rFonts w:ascii="Arial" w:cs="Arial" w:eastAsia="Arial" w:hAnsi="Arial"/>
          <w:sz w:val="24"/>
          <w:szCs w:val="24"/>
        </w:rPr>
        <w:t xml:space="preserve">Peneliti utama dan co-researcher memiliki latar belakang pendidikan pascasarjana di bidang antropologi, pendidikan, atau bidang terkait, dengan rekam jejak publikasi dan pengalaman penelitian lapangan di komunitas adat Kalimantan. Ahli etnomatematika memiliki spesialisasi di bidang pendidikan matematika lintas budaya. Asisten lapangan lokal dipilih berdasarkan kemampuan bahasa dan pengetahuan budaya Kanayatn, serta jaringan sosial yang kuat dalam komunitas. Curriculum vitae ringkas (maksimal satu halaman per orang) yang menonjolkan pengalaman dan publikasi relevan dilampirkan sebagai bagian dari berkas kelengkapan administrasi.</w:t>
      </w:r>
    </w:p>
    <w:p>
      <w:pPr>
        <w:spacing w:after="60" w:before="60"/>
      </w:pPr>
      <w:r>
        <w:t xml:space="preserve"/>
      </w:r>
    </w:p>
    <w:p>
      <w:r>
        <w:br w:type="page"/>
      </w:r>
    </w:p>
    <w:p>
      <w:pPr>
        <w:pStyle w:val="Heading1"/>
        <w:spacing w:after="180" w:before="360"/>
      </w:pPr>
      <w:r>
        <w:rPr>
          <w:rFonts w:ascii="Arial" w:cs="Arial" w:eastAsia="Arial" w:hAnsi="Arial"/>
          <w:b/>
          <w:bCs/>
          <w:color w:val="2E4057"/>
          <w:sz w:val="28"/>
          <w:szCs w:val="28"/>
        </w:rPr>
        <w:t xml:space="preserve">8. Keberlanjutan</w:t>
      </w:r>
    </w:p>
    <w:p>
      <w:pPr>
        <w:spacing w:after="120" w:before="120" w:line="360"/>
        <w:jc w:val="both"/>
      </w:pPr>
      <w:r>
        <w:rPr>
          <w:rFonts w:ascii="Arial" w:cs="Arial" w:eastAsia="Arial" w:hAnsi="Arial"/>
          <w:b/>
          <w:bCs/>
          <w:sz w:val="24"/>
          <w:szCs w:val="24"/>
        </w:rPr>
        <w:t xml:space="preserve">Rencana Pascapendanaan. </w:t>
      </w:r>
      <w:r>
        <w:rPr>
          <w:rFonts w:ascii="Arial" w:cs="Arial" w:eastAsia="Arial" w:hAnsi="Arial"/>
          <w:sz w:val="24"/>
          <w:szCs w:val="24"/>
        </w:rPr>
        <w:t xml:space="preserve">Keberlanjutan dampak penelitian ini dirancang dalam tiga jalur utama. Pertama, seluruh data dan materi dokumentasi akan diarsipkan secara digital dalam format terbuka dan diserahkan salinannya kepada komunitas Dayak Kanayatn, Dinas Kebudayaan Kabupaten Landak, dan perpustakaan perguruan tinggi mitra. Kedua, pelatihan singkat tentang teknik dokumentasi mandiri akan diberikan kepada minimal dua anggota komunitas yang memiliki minat dan kapasitas, sehingga komunitas dapat melanjutkan upaya dokumentasi secara swadaya pasca proyek. Ketiga, materi etnomatematika yang dihasilkan akan dikemas dalam format yang mudah diadaptasi untuk keperluan pengajaran di sekolah dasar dan menengah di wilayah Landak.</w:t>
      </w:r>
    </w:p>
    <w:p>
      <w:pPr>
        <w:spacing w:after="120" w:before="120" w:line="360"/>
        <w:jc w:val="both"/>
      </w:pPr>
      <w:r>
        <w:rPr>
          <w:rFonts w:ascii="Arial" w:cs="Arial" w:eastAsia="Arial" w:hAnsi="Arial"/>
          <w:b/>
          <w:bCs/>
          <w:sz w:val="24"/>
          <w:szCs w:val="24"/>
        </w:rPr>
        <w:t xml:space="preserve">Model Pemeliharaan Jangka Panjang. </w:t>
      </w:r>
      <w:r>
        <w:rPr>
          <w:rFonts w:ascii="Arial" w:cs="Arial" w:eastAsia="Arial" w:hAnsi="Arial"/>
          <w:sz w:val="24"/>
          <w:szCs w:val="24"/>
        </w:rPr>
        <w:t xml:space="preserve">Tim peneliti berkomitmen untuk menjalin kolaborasi jangka panjang dengan Dinas Kebudayaan dan Dinas Pendidikan Kabupaten Landak, serta dengan perguruan tinggi di Kalimantan Barat. Kolaborasi ini bertujuan memastikan pembaruan data secara berkala, mengintegrasikan temuan penelitian ke dalam kebijakan kurikulum muatan lokal, serta membuka peluang penelitian lanjutan yang dapat didanai melalui skema lain seperti penelitian kompetitif perguruan tinggi atau program kebudayaan daerah.</w:t>
      </w:r>
    </w:p>
    <w:p>
      <w:pPr>
        <w:spacing w:after="120" w:before="120" w:line="360"/>
        <w:jc w:val="both"/>
      </w:pPr>
      <w:r>
        <w:rPr>
          <w:rFonts w:ascii="Arial" w:cs="Arial" w:eastAsia="Arial" w:hAnsi="Arial"/>
          <w:b/>
          <w:bCs/>
          <w:sz w:val="24"/>
          <w:szCs w:val="24"/>
        </w:rPr>
        <w:t xml:space="preserve">Indikator Keberlanjutan. </w:t>
      </w:r>
      <w:r>
        <w:rPr>
          <w:rFonts w:ascii="Arial" w:cs="Arial" w:eastAsia="Arial" w:hAnsi="Arial"/>
          <w:sz w:val="24"/>
          <w:szCs w:val="24"/>
        </w:rPr>
        <w:t xml:space="preserve">Keberhasilan rencana keberlanjutan akan diukur melalui tiga indikator konkret: (1) Diadopsinya muatan lokal berbasis etnomatematika Dayak Kanayatn di minimal satu sekolah dasar di Kabupaten Landak dalam kurun waktu satu tahun setelah penelitian selesai; (2) Tersedianya arsip digital yang dapat diakses secara mandiri oleh komunitas melalui penyerahan salinan ke lembaga adat dan perpustakaan lokal; serta (3) Teridentifikasinya agenda penelitian tindak lanjut yang dapat diajukan dalam skema pendanaan berikutnya, baik oleh tim yang sama maupun oleh peneliti lain yang terinspirasi dari temuan studi ini.</w:t>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6" w:space="4"/>
      </w:pBdr>
      <w:spacing w:after="180" w:before="360"/>
      <w:outlineLvl w:val="0"/>
    </w:pPr>
    <w:rPr>
      <w:rFonts w:ascii="Arial" w:cs="Arial" w:eastAsia="Arial" w:hAnsi="Arial"/>
      <w:b/>
      <w:bCs/>
      <w:color w:val="2E405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2026-04-22T09:00:29.390Z</dcterms:created>
  <dcterms:modified xsi:type="dcterms:W3CDTF">2026-04-22T09:00:29.391Z</dcterms:modified>
</cp:coreProperties>
</file>

<file path=docProps/custom.xml><?xml version="1.0" encoding="utf-8"?>
<Properties xmlns="http://schemas.openxmlformats.org/officeDocument/2006/custom-properties" xmlns:vt="http://schemas.openxmlformats.org/officeDocument/2006/docPropsVTypes"/>
</file>