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Agreed Capacity Term Sheet</w:t>
      </w:r>
    </w:p>
    <w:p>
      <w:pPr>
        <w:pStyle w:val="Subtitle"/>
      </w:pPr>
      <w:r>
        <w:t>Reserved B200 capacity - CB-2026-041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Buyer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Northstar Models, Inc.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Provider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Alder Ridge Compute Campus LLC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Date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August 20, 2026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Drafting status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Agreed commercial terms for definitive documentation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Synthetic matter: </w:t>
            </w:r>
            <w:r>
              <w:t>This is a fictional benchmark document and not legal advice or an offer of real compute capacity.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410"/>
      </w:tblGrid>
      <w:tr>
        <w:trPr>
          <w:tblHeader w:val="true"/>
          <w:cantSplit/>
        </w:trPr>
        <w:tc>
          <w:tcPr>
            <w:tcW w:type="dxa" w:w="19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74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Agreed position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Capacity</w:t>
            </w:r>
          </w:p>
        </w:tc>
        <w:tc>
          <w:tcPr>
            <w:tcW w:type="dxa" w:w="7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1,024 NVIDIA B200 SXM GPUs in 128 dedicated eight-GPU HGX B200 nodes. No shared or fractional service.</w:t>
            </w:r>
          </w:p>
        </w:tc>
      </w:tr>
      <w:tr>
        <w:trPr>
          <w:cantSplit/>
        </w:trPr>
        <w:tc>
          <w:tcPr>
            <w:tcW w:type="dxa" w:w="19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Delivery</w:t>
            </w:r>
          </w:p>
        </w:tc>
        <w:tc>
          <w:tcPr>
            <w:tcW w:type="dxa" w:w="7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All 1,024 GPUs ready for acceptance by January 15, 2027.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Term</w:t>
            </w:r>
          </w:p>
        </w:tc>
        <w:tc>
          <w:tcPr>
            <w:tcW w:type="dxa" w:w="7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January 15, 2027 through July 14, 2028, with one buyer option to extend for six months on pricing to be agreed in the definitive agreement.</w:t>
            </w:r>
          </w:p>
        </w:tc>
      </w:tr>
      <w:tr>
        <w:trPr>
          <w:cantSplit/>
        </w:trPr>
        <w:tc>
          <w:tcPr>
            <w:tcW w:type="dxa" w:w="19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Base price</w:t>
            </w:r>
          </w:p>
        </w:tc>
        <w:tc>
          <w:tcPr>
            <w:tcW w:type="dxa" w:w="7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$3.10 per accepted GPU-hour, excluding taxes. Annual escalation: 2% on each anniversary of the first service date.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All-in cap</w:t>
            </w:r>
          </w:p>
        </w:tc>
        <w:tc>
          <w:tcPr>
            <w:tcW w:type="dxa" w:w="7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base price plus permitted operating pass-throughs may not exceed $3.35 per GPU-hour, excluding taxes.</w:t>
            </w:r>
          </w:p>
        </w:tc>
      </w:tr>
      <w:tr>
        <w:trPr>
          <w:cantSplit/>
        </w:trPr>
        <w:tc>
          <w:tcPr>
            <w:tcW w:type="dxa" w:w="19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Power</w:t>
            </w:r>
          </w:p>
        </w:tc>
        <w:tc>
          <w:tcPr>
            <w:tcW w:type="dxa" w:w="7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Power is included in the base price up to $0.075/kWh. Verified cost above that threshold may pass through at cost with invoice support, 30 days' notice, and buyer audit rights, subject to the all-in cap.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Deposit</w:t>
            </w:r>
          </w:p>
        </w:tc>
        <w:tc>
          <w:tcPr>
            <w:tcW w:type="dxa" w:w="7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Three months of committed charges, held as security, creditable against final invoices, and otherwise refundable after payment of undisputed amounts.</w:t>
            </w:r>
          </w:p>
        </w:tc>
      </w:tr>
      <w:tr>
        <w:trPr>
          <w:cantSplit/>
        </w:trPr>
        <w:tc>
          <w:tcPr>
            <w:tcW w:type="dxa" w:w="19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Fabric</w:t>
            </w:r>
          </w:p>
        </w:tc>
        <w:tc>
          <w:tcPr>
            <w:tcW w:type="dxa" w:w="7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At least one 400 Gb/s fabric endpoint per GPU; topology and port map supplied before signing.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Storage / ingress</w:t>
            </w:r>
          </w:p>
        </w:tc>
        <w:tc>
          <w:tcPr>
            <w:tcW w:type="dxa" w:w="7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6 PiB usable storage at 1.2 TB/s read and 800 GB/s write; at least 200 Gb/s external ingress.</w:t>
            </w:r>
          </w:p>
        </w:tc>
      </w:tr>
      <w:tr>
        <w:trPr>
          <w:cantSplit/>
        </w:trPr>
        <w:tc>
          <w:tcPr>
            <w:tcW w:type="dxa" w:w="19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Availability</w:t>
            </w:r>
          </w:p>
        </w:tc>
        <w:tc>
          <w:tcPr>
            <w:tcW w:type="dxa" w:w="7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99.5% monthly cluster availability. Service credits: 12% of monthly committed charges per percentage point below the threshold, capped at 50% per month.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Maintenance</w:t>
            </w:r>
          </w:p>
        </w:tc>
        <w:tc>
          <w:tcPr>
            <w:tcW w:type="dxa" w:w="7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Planned maintenance limited to eight hours per month with at least seven days' notice.</w:t>
            </w:r>
          </w:p>
        </w:tc>
      </w:tr>
      <w:tr>
        <w:trPr>
          <w:cantSplit/>
        </w:trPr>
        <w:tc>
          <w:tcPr>
            <w:tcW w:type="dxa" w:w="19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Delay credits</w:t>
            </w:r>
          </w:p>
        </w:tc>
        <w:tc>
          <w:tcPr>
            <w:tcW w:type="dxa" w:w="7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$300,000 for each full week of delay, capped at $2.4 million; buyer may terminate after eight weeks.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Acceptance</w:t>
            </w:r>
          </w:p>
        </w:tc>
        <w:tc>
          <w:tcPr>
            <w:tcW w:type="dxa" w:w="7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72-hour burn-in, serial and inventory attestation, and NCCL performance against a reference and threshold to be agreed before signing.</w:t>
            </w:r>
          </w:p>
        </w:tc>
      </w:tr>
      <w:tr>
        <w:trPr>
          <w:cantSplit/>
        </w:trPr>
        <w:tc>
          <w:tcPr>
            <w:tcW w:type="dxa" w:w="19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Substitution</w:t>
            </w:r>
          </w:p>
        </w:tc>
        <w:tc>
          <w:tcPr>
            <w:tcW w:type="dxa" w:w="7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Only B200 or a later-generation accelerator with equal or better specifications, and only with Northstar's prior written consent.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Assignment / use</w:t>
            </w:r>
          </w:p>
        </w:tc>
        <w:tc>
          <w:tcPr>
            <w:tcW w:type="dxa" w:w="7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Northstar may assign to an affiliate without consent and may allocate workloads to named controlled customers, while remaining liable. No unrestricted resale.</w:t>
            </w:r>
          </w:p>
        </w:tc>
      </w:tr>
      <w:tr>
        <w:trPr>
          <w:cantSplit/>
        </w:trPr>
        <w:tc>
          <w:tcPr>
            <w:tcW w:type="dxa" w:w="19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Force majeure</w:t>
            </w:r>
          </w:p>
        </w:tc>
        <w:tc>
          <w:tcPr>
            <w:tcW w:type="dxa" w:w="7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Either party may terminate after 90 consecutive days of force majeure preventing material performance.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Disputes</w:t>
            </w:r>
          </w:p>
        </w:tc>
        <w:tc>
          <w:tcPr>
            <w:tcW w:type="dxa" w:w="7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Confidential binding arbitration under AAA Commercial Rules, seated in New York, after executive escalation.</w:t>
            </w:r>
          </w:p>
        </w:tc>
      </w:tr>
    </w:tbl>
    <w:p>
      <w:pPr>
        <w:spacing w:after="0"/>
      </w:pPr>
    </w:p>
    <w:p>
      <w:pPr>
        <w:pStyle w:val="Heading1"/>
      </w:pPr>
      <w:r>
        <w:t>Conditions to definitive agreement</w:t>
      </w:r>
    </w:p>
    <w:p>
      <w:pPr>
        <w:ind w:left="173" w:hanging="173"/>
      </w:pPr>
      <w:r>
        <w:rPr>
          <w:b/>
          <w:color w:val="1F4D78"/>
        </w:rPr>
        <w:t xml:space="preserve">Capacity control: </w:t>
      </w:r>
      <w:r>
        <w:t>Evidence of provider authority, utility delivery, facility commissioning, hardware title, liens, and any lender or third-party consent.</w:t>
      </w:r>
    </w:p>
    <w:p>
      <w:pPr>
        <w:ind w:left="173" w:hanging="173"/>
      </w:pPr>
      <w:r>
        <w:rPr>
          <w:b/>
          <w:color w:val="1F4D78"/>
        </w:rPr>
        <w:t xml:space="preserve">Security: </w:t>
      </w:r>
      <w:r>
        <w:t>Current SOC 2 Type II and agreed security schedule.</w:t>
      </w:r>
    </w:p>
    <w:p>
      <w:pPr>
        <w:ind w:left="173" w:hanging="173"/>
      </w:pPr>
      <w:r>
        <w:rPr>
          <w:b/>
          <w:color w:val="1F4D78"/>
        </w:rPr>
        <w:t xml:space="preserve">Acceptance: </w:t>
      </w:r>
      <w:r>
        <w:t>Agreed NCCL reference configuration and passing threshold.</w:t>
      </w:r>
    </w:p>
    <w:p>
      <w:pPr>
        <w:ind w:left="173" w:hanging="173"/>
      </w:pPr>
      <w:r>
        <w:rPr>
          <w:b/>
          <w:color w:val="1F4D78"/>
        </w:rPr>
        <w:t xml:space="preserve">Credit support: </w:t>
      </w:r>
      <w:r>
        <w:t>Parent guarantee from Alder Ridge Compute Holdings, Inc.</w:t>
      </w:r>
    </w:p>
    <w:p>
      <w:pPr>
        <w:pStyle w:val="Heading1"/>
      </w:pPr>
      <w:r>
        <w:t>Drafting convention</w:t>
      </w:r>
    </w:p>
    <w:p>
      <w:r>
        <w:t>The definitive agreement should preserve these terms unless a later written negotiation record expressly states otherwise. Silence in a draft does not amend this term sheet.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CB-2026-041 - AGREED CAPACITY TERM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