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Reserved Capacity Agreement</w:t>
      </w:r>
    </w:p>
    <w:p>
      <w:pPr>
        <w:pStyle w:val="Subtitle"/>
      </w:pPr>
      <w:r>
        <w:t>Draft for review - CB-2026-041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Provider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Alder Ridge Compute Campus LLC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Customer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Northstar Models, Inc.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Draft date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September 2, 2026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Status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Provider counsel draft - not executed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Synthetic matter: </w:t>
            </w:r>
            <w:r>
              <w:t>This fictional agreement is intentionally inconsistent with other matter documents for benchmark evaluation.</w:t>
            </w:r>
          </w:p>
        </w:tc>
      </w:tr>
    </w:tbl>
    <w:p>
      <w:pPr>
        <w:spacing w:after="0"/>
      </w:pPr>
    </w:p>
    <w:p>
      <w:pPr>
        <w:pStyle w:val="Heading1"/>
      </w:pPr>
      <w:r>
        <w:t>1. Reserved capacity</w:t>
      </w:r>
    </w:p>
    <w:p>
      <w:r>
        <w:rPr>
          <w:b/>
        </w:rPr>
        <w:t>1.1 Capacity.</w:t>
      </w:r>
      <w:r>
        <w:t xml:space="preserve"> Provider will reserve 1,024 accelerator devices configured in 128 eight-device nodes at Blue Mesa AI Campus.</w:t>
      </w:r>
    </w:p>
    <w:p>
      <w:r>
        <w:rPr>
          <w:b/>
        </w:rPr>
        <w:t>1.2 Accelerator standard.</w:t>
      </w:r>
      <w:r>
        <w:t xml:space="preserve"> Provider may satisfy the reservation with NVIDIA B200, H200, or another NVIDIA accelerator having substantially similar device memory and commercially comparable performance. Customer consent is not required.</w:t>
      </w:r>
    </w:p>
    <w:p>
      <w:r>
        <w:rPr>
          <w:b/>
        </w:rPr>
        <w:t>1.3 Dedicated service.</w:t>
      </w:r>
      <w:r>
        <w:t xml:space="preserve"> The reserved devices will not be fractionally allocated to another customer while accepted and paid for by Customer.</w:t>
      </w:r>
    </w:p>
    <w:p>
      <w:pPr>
        <w:pStyle w:val="Heading1"/>
      </w:pPr>
      <w:r>
        <w:t>2. Delivery and term</w:t>
      </w:r>
    </w:p>
    <w:p>
      <w:r>
        <w:rPr>
          <w:b/>
        </w:rPr>
        <w:t>2.1 Tranche A.</w:t>
      </w:r>
      <w:r>
        <w:t xml:space="preserve"> 512 B200 GPUs will be ready for acceptance on January 15, 2027.</w:t>
      </w:r>
    </w:p>
    <w:p>
      <w:r>
        <w:rPr>
          <w:b/>
        </w:rPr>
        <w:t>2.2 Tranche B.</w:t>
      </w:r>
      <w:r>
        <w:t xml:space="preserve"> The remaining 512 B200 GPUs will be ready for acceptance on February 1, 2027.</w:t>
      </w:r>
    </w:p>
    <w:p>
      <w:r>
        <w:rPr>
          <w:b/>
        </w:rPr>
        <w:t>2.3 Term.</w:t>
      </w:r>
      <w:r>
        <w:t xml:space="preserve"> The term begins January 15, 2027 and ends July 14, 2028 unless earlier terminated. Charges for each tranche begin when that tranche is accepted.</w:t>
      </w:r>
    </w:p>
    <w:p>
      <w:r>
        <w:rPr>
          <w:b/>
        </w:rPr>
        <w:t>2.4 Expansion option.</w:t>
      </w:r>
      <w:r>
        <w:t xml:space="preserve"> Customer may elect one additional block of 1,024 B200 GPUs for delivery by July 1, 2027 at a price not greater than $3.30 per GPU-hour for a twelve-month term. Customer must exercise by March 31, 2027.</w:t>
      </w:r>
    </w:p>
    <w:p>
      <w:pPr>
        <w:pStyle w:val="Heading1"/>
      </w:pPr>
      <w:r>
        <w:t>3. Delivery remedies</w:t>
      </w:r>
    </w:p>
    <w:p>
      <w:r>
        <w:rPr>
          <w:b/>
        </w:rPr>
        <w:t>3.1 Delay credit.</w:t>
      </w:r>
      <w:r>
        <w:t xml:space="preserve"> For capacity not ready by the applicable delivery date, Provider will credit $150,000 for each full week of delay.</w:t>
      </w:r>
    </w:p>
    <w:p>
      <w:r>
        <w:rPr>
          <w:b/>
        </w:rPr>
        <w:t>3.2 Cap.</w:t>
      </w:r>
      <w:r>
        <w:t xml:space="preserve"> Delay credits are capped at $2,500,000 in aggregate, representing ten weeks of delay credits at $150,000 per week.</w:t>
      </w:r>
    </w:p>
    <w:p>
      <w:r>
        <w:rPr>
          <w:b/>
        </w:rPr>
        <w:t>3.3 Termination.</w:t>
      </w:r>
      <w:r>
        <w:t xml:space="preserve"> Customer may terminate the affected tranche after ten weeks of delay.</w:t>
      </w:r>
    </w:p>
    <w:p>
      <w:pPr>
        <w:pStyle w:val="Heading1"/>
      </w:pPr>
      <w:r>
        <w:t>4. Charges</w:t>
      </w:r>
    </w:p>
    <w:p>
      <w:r>
        <w:rPr>
          <w:b/>
        </w:rPr>
        <w:t>4.1 Base price.</w:t>
      </w:r>
      <w:r>
        <w:t xml:space="preserve"> Customer will pay $3.10 per accepted GPU-hour. The base price increases by two percent (2%) on each anniversary of the first service date.</w:t>
      </w:r>
    </w:p>
    <w:p>
      <w:r>
        <w:rPr>
          <w:b/>
        </w:rPr>
        <w:t>4.2 Utility pass-through.</w:t>
      </w:r>
      <w:r>
        <w:t xml:space="preserve"> Customer will pay, in addition to the base price, all electricity charges, utility riders, demand charges, taxes, environmental surcharges, and other power-related costs allocated by Provider to the reserved capacity. Provider may update the allocation monthly.</w:t>
      </w:r>
    </w:p>
    <w:p>
      <w:r>
        <w:rPr>
          <w:b/>
        </w:rPr>
        <w:t>4.3 Taxes and network.</w:t>
      </w:r>
      <w:r>
        <w:t xml:space="preserve"> Customer will pay applicable taxes and separately quoted internet egress charges.</w:t>
      </w:r>
    </w:p>
    <w:p>
      <w:pPr>
        <w:pStyle w:val="Heading1"/>
      </w:pPr>
      <w:r>
        <w:t>5. Security deposit and payment</w:t>
      </w:r>
    </w:p>
    <w:p>
      <w:r>
        <w:rPr>
          <w:b/>
        </w:rPr>
        <w:t>5.1 Deposit.</w:t>
      </w:r>
      <w:r>
        <w:t xml:space="preserve"> On signing, Customer will pay non-refundable security equal to four months of projected committed charges.</w:t>
      </w:r>
    </w:p>
    <w:p>
      <w:r>
        <w:rPr>
          <w:b/>
        </w:rPr>
        <w:t>5.2 Invoices.</w:t>
      </w:r>
      <w:r>
        <w:t xml:space="preserve"> Provider will invoice monthly in advance for committed capacity and monthly in arrears for pass-through charges.</w:t>
      </w:r>
    </w:p>
    <w:p>
      <w:r>
        <w:rPr>
          <w:b/>
        </w:rPr>
        <w:t>5.3 Disputes.</w:t>
      </w:r>
      <w:r>
        <w:t xml:space="preserve"> Customer must dispute an invoice within fifteen days while paying the undisputed portion.</w:t>
      </w:r>
    </w:p>
    <w:p>
      <w:pPr>
        <w:pStyle w:val="Heading1"/>
      </w:pPr>
      <w:r>
        <w:t>6. Fabric, storage, and connectivity</w:t>
      </w:r>
    </w:p>
    <w:p>
      <w:r>
        <w:rPr>
          <w:b/>
        </w:rPr>
        <w:t>6.1 Fabric.</w:t>
      </w:r>
      <w:r>
        <w:t xml:space="preserve"> Provider will furnish commercially reasonable high-speed interconnect suitable for large-model training. Provider may modify topology in the ordinary course.</w:t>
      </w:r>
    </w:p>
    <w:p>
      <w:r>
        <w:rPr>
          <w:b/>
        </w:rPr>
        <w:t>6.2 Storage.</w:t>
      </w:r>
      <w:r>
        <w:t xml:space="preserve"> Provider will furnish 6 PiB usable shared storage designed for up to 1.2 TB/s read and 800 GB/s write under representative conditions.</w:t>
      </w:r>
    </w:p>
    <w:p>
      <w:r>
        <w:rPr>
          <w:b/>
        </w:rPr>
        <w:t>6.3 External connectivity.</w:t>
      </w:r>
      <w:r>
        <w:t xml:space="preserve"> Provider will make at least 200 Gb/s of external ingress available. Egress is charged under Provider's then-current schedule.</w:t>
      </w:r>
    </w:p>
    <w:p>
      <w:pPr>
        <w:pStyle w:val="Heading1"/>
      </w:pPr>
      <w:r>
        <w:t>7. Acceptance</w:t>
      </w:r>
    </w:p>
    <w:p>
      <w:r>
        <w:rPr>
          <w:b/>
        </w:rPr>
        <w:t>7.1 Tests.</w:t>
      </w:r>
      <w:r>
        <w:t xml:space="preserve"> Provider will perform its standard readiness and diagnostic tests and provide a summary to Customer.</w:t>
      </w:r>
    </w:p>
    <w:p>
      <w:r>
        <w:rPr>
          <w:b/>
        </w:rPr>
        <w:t>7.2 Review period.</w:t>
      </w:r>
      <w:r>
        <w:t xml:space="preserve"> Customer must reject a tranche with reasonable detail within twenty-four hours after Provider's readiness notice. A tranche is deemed accepted if Customer does not reject it during that period.</w:t>
      </w:r>
    </w:p>
    <w:p>
      <w:r>
        <w:rPr>
          <w:b/>
        </w:rPr>
        <w:t>7.3 Cure.</w:t>
      </w:r>
      <w:r>
        <w:t xml:space="preserve"> Provider may cure a valid rejection and resubmit the tranche for acceptance.</w:t>
      </w:r>
    </w:p>
    <w:p>
      <w:pPr>
        <w:pStyle w:val="Heading1"/>
      </w:pPr>
      <w:r>
        <w:t>8. Availability and service credits</w:t>
      </w:r>
    </w:p>
    <w:p>
      <w:r>
        <w:rPr>
          <w:b/>
        </w:rPr>
        <w:t>8.1 Availability.</w:t>
      </w:r>
      <w:r>
        <w:t xml:space="preserve"> Provider will provide 99.3% cluster availability in each calendar month, excluding scheduled maintenance and other exclusions.</w:t>
      </w:r>
    </w:p>
    <w:p>
      <w:r>
        <w:rPr>
          <w:b/>
        </w:rPr>
        <w:t>8.2 Credit rate.</w:t>
      </w:r>
      <w:r>
        <w:t xml:space="preserve"> For each full percentage point below 99.3%, Customer receives a credit equal to 8% of monthly committed charges for the affected capacity.</w:t>
      </w:r>
    </w:p>
    <w:p>
      <w:r>
        <w:rPr>
          <w:b/>
        </w:rPr>
        <w:t>8.3 Credit cap.</w:t>
      </w:r>
      <w:r>
        <w:t xml:space="preserve"> Service credits may not exceed 25% of monthly committed charges and are Customer's sole monetary remedy for availability.</w:t>
      </w:r>
    </w:p>
    <w:p>
      <w:r>
        <w:rPr>
          <w:b/>
        </w:rPr>
        <w:t>8.4 Maintenance.</w:t>
      </w:r>
      <w:r>
        <w:t xml:space="preserve"> Scheduled maintenance may not exceed twelve hours per month and requires five days' prior notice.</w:t>
      </w:r>
    </w:p>
    <w:p>
      <w:pPr>
        <w:pStyle w:val="Heading1"/>
      </w:pPr>
      <w:r>
        <w:t>9. Security and data</w:t>
      </w:r>
    </w:p>
    <w:p>
      <w:r>
        <w:rPr>
          <w:b/>
        </w:rPr>
        <w:t>9.1 Controls.</w:t>
      </w:r>
      <w:r>
        <w:t xml:space="preserve"> Provider will maintain a current SOC 2 Type II report and commercially reasonable administrative, physical, and technical safeguards.</w:t>
      </w:r>
    </w:p>
    <w:p>
      <w:r>
        <w:rPr>
          <w:b/>
        </w:rPr>
        <w:t>9.2 Data location.</w:t>
      </w:r>
      <w:r>
        <w:t xml:space="preserve"> Customer data will remain in the United States except for support metadata that does not contain Customer content.</w:t>
      </w:r>
    </w:p>
    <w:p>
      <w:r>
        <w:rPr>
          <w:b/>
        </w:rPr>
        <w:t>9.3 Keys and logs.</w:t>
      </w:r>
      <w:r>
        <w:t xml:space="preserve"> Provider will support customer-managed encryption keys and exportable administrative access logs as described in the security schedule.</w:t>
      </w:r>
    </w:p>
    <w:p>
      <w:pPr>
        <w:pStyle w:val="Heading1"/>
      </w:pPr>
      <w:r>
        <w:t>10. Assignment and permitted use</w:t>
      </w:r>
    </w:p>
    <w:p>
      <w:r>
        <w:rPr>
          <w:b/>
        </w:rPr>
        <w:t>10.1 Assignment.</w:t>
      </w:r>
      <w:r>
        <w:t xml:space="preserve"> Customer may not assign this Agreement, including to an affiliate, without Provider's prior written consent.</w:t>
      </w:r>
    </w:p>
    <w:p>
      <w:r>
        <w:rPr>
          <w:b/>
        </w:rPr>
        <w:t>10.2 Third-party use.</w:t>
      </w:r>
      <w:r>
        <w:t xml:space="preserve"> Customer may not resell, sublicense, or permit any third party to use the reserved capacity without Provider's prior written consent.</w:t>
      </w:r>
    </w:p>
    <w:p>
      <w:pPr>
        <w:pStyle w:val="Heading1"/>
      </w:pPr>
      <w:r>
        <w:t>11. Force majeure</w:t>
      </w:r>
    </w:p>
    <w:p>
      <w:r>
        <w:rPr>
          <w:b/>
        </w:rPr>
        <w:t>11.1 Suspension.</w:t>
      </w:r>
      <w:r>
        <w:t xml:space="preserve"> A party is excused while a force majeure event prevents performance, subject to mitigation and notice.</w:t>
      </w:r>
    </w:p>
    <w:p>
      <w:r>
        <w:rPr>
          <w:b/>
        </w:rPr>
        <w:t>11.2 Extended event.</w:t>
      </w:r>
      <w:r>
        <w:t xml:space="preserve"> Either party may terminate the affected services after 180 consecutive days of material nonperformance caused by force majeure.</w:t>
      </w:r>
    </w:p>
    <w:p>
      <w:pPr>
        <w:pStyle w:val="Heading1"/>
      </w:pPr>
      <w:r>
        <w:t>12. Title, liens, and authority</w:t>
      </w:r>
    </w:p>
    <w:p>
      <w:r>
        <w:rPr>
          <w:b/>
        </w:rPr>
        <w:t>12.1 Equipment.</w:t>
      </w:r>
      <w:r>
        <w:t xml:space="preserve"> Provider represents that it has the right to operate and dedicate the reserved capacity, subject to permitted financing liens.</w:t>
      </w:r>
    </w:p>
    <w:p>
      <w:r>
        <w:rPr>
          <w:b/>
        </w:rPr>
        <w:t>12.2 Consents.</w:t>
      </w:r>
      <w:r>
        <w:t xml:space="preserve"> Provider will obtain consents it determines are necessary for performance.</w:t>
      </w:r>
    </w:p>
    <w:p>
      <w:r>
        <w:rPr>
          <w:b/>
        </w:rPr>
        <w:t>12.3 Parent support.</w:t>
      </w:r>
      <w:r>
        <w:t xml:space="preserve"> The parties will discuss the form and amount of any parent guarantee after signing.</w:t>
      </w:r>
    </w:p>
    <w:p>
      <w:pPr>
        <w:pStyle w:val="Heading1"/>
      </w:pPr>
      <w:r>
        <w:t>13. Disputes</w:t>
      </w:r>
    </w:p>
    <w:p>
      <w:r>
        <w:rPr>
          <w:b/>
        </w:rPr>
        <w:t>13.1 Escalation.</w:t>
      </w:r>
      <w:r>
        <w:t xml:space="preserve"> Senior executives will meet in good faith before either party files a claim.</w:t>
      </w:r>
    </w:p>
    <w:p>
      <w:r>
        <w:rPr>
          <w:b/>
        </w:rPr>
        <w:t>13.2 Forum.</w:t>
      </w:r>
      <w:r>
        <w:t xml:space="preserve"> The state and federal courts located in Virginia have exclusive jurisdiction, and each party waives any objection to venue.</w:t>
      </w:r>
    </w:p>
    <w:p>
      <w:pPr>
        <w:pStyle w:val="Heading1"/>
      </w:pPr>
      <w:r>
        <w:t>14. Entire agreement</w:t>
      </w:r>
    </w:p>
    <w:p>
      <w:r>
        <w:rPr>
          <w:b/>
        </w:rPr>
        <w:t>14.1 Priority.</w:t>
      </w:r>
      <w:r>
        <w:t xml:space="preserve"> This Agreement and its schedules supersede prior proposals, correspondence, and term sheets concerning the reserved capacity.</w:t>
      </w:r>
    </w:p>
    <w:p>
      <w:r>
        <w:rPr>
          <w:b/>
        </w:rPr>
        <w:t>14.2 Amendments.</w:t>
      </w:r>
      <w:r>
        <w:t xml:space="preserve"> An amendment must be signed by authorized representatives of both parties.</w:t>
      </w:r>
    </w:p>
    <w:p>
      <w:pPr>
        <w:pStyle w:val="Heading1"/>
      </w:pPr>
      <w:r>
        <w:t>Schedule 1 - Capacity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700"/>
        <w:gridCol w:w="1100"/>
        <w:gridCol w:w="2800"/>
        <w:gridCol w:w="2760"/>
      </w:tblGrid>
      <w:tr>
        <w:trPr>
          <w:tblHeader w:val="true"/>
          <w:cantSplit/>
        </w:trPr>
        <w:tc>
          <w:tcPr>
            <w:tcW w:type="dxa" w:w="10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Tranche</w:t>
            </w:r>
          </w:p>
        </w:tc>
        <w:tc>
          <w:tcPr>
            <w:tcW w:type="dxa" w:w="17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GPU</w:t>
            </w:r>
          </w:p>
        </w:tc>
        <w:tc>
          <w:tcPr>
            <w:tcW w:type="dxa" w:w="11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Nodes</w:t>
            </w:r>
          </w:p>
        </w:tc>
        <w:tc>
          <w:tcPr>
            <w:tcW w:type="dxa" w:w="28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Delivery date</w:t>
            </w:r>
          </w:p>
        </w:tc>
        <w:tc>
          <w:tcPr>
            <w:tcW w:type="dxa" w:w="27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Term end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512 B200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64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January 15, 2027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July 14, 2028</w:t>
            </w:r>
          </w:p>
        </w:tc>
      </w:tr>
      <w:tr>
        <w:trPr>
          <w:cantSplit/>
        </w:trPr>
        <w:tc>
          <w:tcPr>
            <w:tcW w:type="dxa" w:w="10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B</w:t>
            </w:r>
          </w:p>
        </w:tc>
        <w:tc>
          <w:tcPr>
            <w:tcW w:type="dxa" w:w="17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512 B200</w:t>
            </w:r>
          </w:p>
        </w:tc>
        <w:tc>
          <w:tcPr>
            <w:tcW w:type="dxa" w:w="11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64</w:t>
            </w:r>
          </w:p>
        </w:tc>
        <w:tc>
          <w:tcPr>
            <w:tcW w:type="dxa" w:w="28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February 1, 2027</w:t>
            </w:r>
          </w:p>
        </w:tc>
        <w:tc>
          <w:tcPr>
            <w:tcW w:type="dxa" w:w="27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July 14, 2028</w:t>
            </w:r>
          </w:p>
        </w:tc>
      </w:tr>
    </w:tbl>
    <w:p>
      <w:pPr>
        <w:spacing w:after="0"/>
      </w:pPr>
    </w:p>
    <w:p>
      <w:pPr>
        <w:pStyle w:val="Heading1"/>
      </w:pPr>
      <w:r>
        <w:t>Schedule 2 - Price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2600"/>
        <w:gridCol w:w="3360"/>
      </w:tblGrid>
      <w:tr>
        <w:trPr>
          <w:tblHeader w:val="true"/>
          <w:cantSplit/>
        </w:trPr>
        <w:tc>
          <w:tcPr>
            <w:tcW w:type="dxa" w:w="34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260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Schedule rate</w:t>
            </w:r>
          </w:p>
        </w:tc>
        <w:tc>
          <w:tcPr>
            <w:tcW w:type="dxa" w:w="33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Schedule note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January 15, 2027 - January 14, 2028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$3.100 per GPU-hour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Initial rate</w:t>
            </w:r>
          </w:p>
        </w:tc>
      </w:tr>
      <w:tr>
        <w:trPr>
          <w:cantSplit/>
        </w:trPr>
        <w:tc>
          <w:tcPr>
            <w:tcW w:type="dxa" w:w="34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January 15, 2028 - July 14, 2028</w:t>
            </w:r>
          </w:p>
        </w:tc>
        <w:tc>
          <w:tcPr>
            <w:tcW w:type="dxa" w:w="260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$3.193 per GPU-hour</w:t>
            </w:r>
          </w:p>
        </w:tc>
        <w:tc>
          <w:tcPr>
            <w:tcW w:type="dxa" w:w="3360"/>
            <w:shd w:fill="F8FAF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>Initial rate increased by 3%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E6A73"/>
        <w:sz w:val="16"/>
      </w:rPr>
      <w:t xml:space="preserve">Synthetic benchmark matter - not a real transaction | </w:t>
    </w:r>
    <w:r>
      <w:rPr>
        <w:rFonts w:ascii="Calibri" w:hAnsi="Calibri"/>
        <w:color w:val="5E6A73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40"/>
      <w:pBdr>
        <w:bottom w:val="single" w:sz="6" w:space="3" w:color="D7DEE5"/>
      </w:pBdr>
    </w:pPr>
    <w:r>
      <w:rPr>
        <w:b/>
        <w:color w:val="5E6A73"/>
        <w:sz w:val="16"/>
      </w:rPr>
      <w:t>CB-2026-041 - DRAFT RESERVED CAPACITY AGREEMENT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10" w:line="264" w:lineRule="auto"/>
    </w:pPr>
    <w:rPr>
      <w:rFonts w:ascii="Calibri" w:hAnsi="Calibri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21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5E6A73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compute-bazaar-bench synthetic matter</dc:subject>
  <dc:creator>Adam Sioud</dc:creator>
  <cp:keywords>compute-bazaar-bench, synthetic, CB-2026-041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