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Precedent Data Room Index</w:t>
      </w:r>
    </w:p>
    <w:p>
      <w:pPr>
        <w:pStyle w:val="Subtitle"/>
      </w:pPr>
      <w:r>
        <w:t>Reserved GPU cloud capacity transaction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Precedent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Project Orion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Use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Structural reference only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Prepared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March 2026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Precedent warning: </w:t>
            </w:r>
            <w:r>
              <w:t>This index came from a different transaction. It should guide organization, not determine materiality or substitute for the buyer's request.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600"/>
        <w:gridCol w:w="5710"/>
      </w:tblGrid>
      <w:tr>
        <w:trPr>
          <w:tblHeader w:val="true"/>
          <w:cantSplit/>
        </w:trPr>
        <w:tc>
          <w:tcPr>
            <w:tcW w:type="dxa" w:w="105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Folder</w:t>
            </w:r>
          </w:p>
        </w:tc>
        <w:tc>
          <w:tcPr>
            <w:tcW w:type="dxa" w:w="26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Heading</w:t>
            </w:r>
          </w:p>
        </w:tc>
        <w:tc>
          <w:tcPr>
            <w:tcW w:type="dxa" w:w="571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Illustrative contents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1.0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Corporate and authority</w:t>
            </w:r>
          </w:p>
        </w:tc>
        <w:tc>
          <w:tcPr>
            <w:tcW w:type="dxa" w:w="5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Entity chart; formation; good standing; board and signing authority</w:t>
            </w:r>
          </w:p>
        </w:tc>
      </w:tr>
      <w:tr>
        <w:trPr>
          <w:cantSplit/>
        </w:trPr>
        <w:tc>
          <w:tcPr>
            <w:tcW w:type="dxa" w:w="10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2.0</w:t>
            </w:r>
          </w:p>
        </w:tc>
        <w:tc>
          <w:tcPr>
            <w:tcW w:type="dxa" w:w="26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Capacity and hardware</w:t>
            </w:r>
          </w:p>
        </w:tc>
        <w:tc>
          <w:tcPr>
            <w:tcW w:type="dxa" w:w="57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Offer schedule; node BOM; purchase orders; serial inventory; title and lien evidence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3.0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Facility and power</w:t>
            </w:r>
          </w:p>
        </w:tc>
        <w:tc>
          <w:tcPr>
            <w:tcW w:type="dxa" w:w="5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Site control; utility service; one-lines; permits; commissioning</w:t>
            </w:r>
          </w:p>
        </w:tc>
      </w:tr>
      <w:tr>
        <w:trPr>
          <w:cantSplit/>
        </w:trPr>
        <w:tc>
          <w:tcPr>
            <w:tcW w:type="dxa" w:w="10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4.0</w:t>
            </w:r>
          </w:p>
        </w:tc>
        <w:tc>
          <w:tcPr>
            <w:tcW w:type="dxa" w:w="26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Network and storage</w:t>
            </w:r>
          </w:p>
        </w:tc>
        <w:tc>
          <w:tcPr>
            <w:tcW w:type="dxa" w:w="57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Topology; carrier orders; port maps; storage design and benchmarks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5.0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Security and data</w:t>
            </w:r>
          </w:p>
        </w:tc>
        <w:tc>
          <w:tcPr>
            <w:tcW w:type="dxa" w:w="5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SOC 2; physical access; incident response; encryption; data location</w:t>
            </w:r>
          </w:p>
        </w:tc>
      </w:tr>
      <w:tr>
        <w:trPr>
          <w:cantSplit/>
        </w:trPr>
        <w:tc>
          <w:tcPr>
            <w:tcW w:type="dxa" w:w="10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6.0</w:t>
            </w:r>
          </w:p>
        </w:tc>
        <w:tc>
          <w:tcPr>
            <w:tcW w:type="dxa" w:w="26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Operations and SLA</w:t>
            </w:r>
          </w:p>
        </w:tc>
        <w:tc>
          <w:tcPr>
            <w:tcW w:type="dxa" w:w="57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Staffing; maintenance; monitoring; availability history; acceptance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7.0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Commercial</w:t>
            </w:r>
          </w:p>
        </w:tc>
        <w:tc>
          <w:tcPr>
            <w:tcW w:type="dxa" w:w="5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Mandate; offer; price model; term sheet; draft agreement; credits</w:t>
            </w:r>
          </w:p>
        </w:tc>
      </w:tr>
      <w:tr>
        <w:trPr>
          <w:cantSplit/>
        </w:trPr>
        <w:tc>
          <w:tcPr>
            <w:tcW w:type="dxa" w:w="10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8.0</w:t>
            </w:r>
          </w:p>
        </w:tc>
        <w:tc>
          <w:tcPr>
            <w:tcW w:type="dxa" w:w="26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Finance and insurance</w:t>
            </w:r>
          </w:p>
        </w:tc>
        <w:tc>
          <w:tcPr>
            <w:tcW w:type="dxa" w:w="57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Financials; financing; collateral; credit support; insurance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9.0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Compliance and disputes</w:t>
            </w:r>
          </w:p>
        </w:tc>
        <w:tc>
          <w:tcPr>
            <w:tcW w:type="dxa" w:w="5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Claims; regulatory; export controls; environmental; sanctions</w:t>
            </w:r>
          </w:p>
        </w:tc>
      </w:tr>
    </w:tbl>
    <w:p>
      <w:pPr>
        <w:spacing w:after="0"/>
      </w:pPr>
    </w:p>
    <w:p>
      <w:pPr>
        <w:pStyle w:val="Heading1"/>
      </w:pPr>
      <w:r>
        <w:t>Access convention</w:t>
      </w:r>
    </w:p>
    <w:p>
      <w:pPr>
        <w:ind w:left="173" w:hanging="173"/>
      </w:pPr>
      <w:r>
        <w:rPr>
          <w:b/>
          <w:color w:val="1F4D78"/>
        </w:rPr>
        <w:t xml:space="preserve">General: </w:t>
      </w:r>
      <w:r>
        <w:t>Approved buyer team after NDA</w:t>
      </w:r>
    </w:p>
    <w:p>
      <w:pPr>
        <w:ind w:left="173" w:hanging="173"/>
      </w:pPr>
      <w:r>
        <w:rPr>
          <w:b/>
          <w:color w:val="1F4D78"/>
        </w:rPr>
        <w:t xml:space="preserve">Named party: </w:t>
      </w:r>
      <w:r>
        <w:t>Security, personal, or customer-specific material</w:t>
      </w:r>
    </w:p>
    <w:p>
      <w:pPr>
        <w:ind w:left="173" w:hanging="173"/>
      </w:pPr>
      <w:r>
        <w:rPr>
          <w:b/>
          <w:color w:val="1F4D78"/>
        </w:rPr>
        <w:t xml:space="preserve">Clean team: </w:t>
      </w:r>
      <w:r>
        <w:t>Supplier pricing, utility pricing, and financing economics</w:t>
      </w:r>
    </w:p>
    <w:p>
      <w:pPr>
        <w:ind w:left="173" w:hanging="173"/>
      </w:pPr>
      <w:r>
        <w:rPr>
          <w:b/>
          <w:color w:val="1F4D78"/>
        </w:rPr>
        <w:t xml:space="preserve">Hold: </w:t>
      </w:r>
      <w:r>
        <w:t>Privileged, export-controlled, or third-party restricted material pending review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E6A73"/>
        <w:sz w:val="16"/>
      </w:rPr>
      <w:t xml:space="preserve">Synthetic benchmark matter - not a real transaction | </w:t>
    </w:r>
    <w:r>
      <w:rPr>
        <w:rFonts w:ascii="Calibri" w:hAnsi="Calibri"/>
        <w:color w:val="5E6A73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40"/>
      <w:pBdr>
        <w:bottom w:val="single" w:sz="6" w:space="3" w:color="D7DEE5"/>
      </w:pBdr>
    </w:pPr>
    <w:r>
      <w:rPr>
        <w:b/>
        <w:color w:val="5E6A73"/>
        <w:sz w:val="16"/>
      </w:rPr>
      <w:t>PRECEDENT INDEX - GPU CLOUD CAPACITY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10" w:line="264" w:lineRule="auto"/>
    </w:pPr>
    <w:rPr>
      <w:rFonts w:ascii="Calibri" w:hAnsi="Calibri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1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E6A73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compute-bazaar-bench synthetic matter</dc:subject>
  <dc:creator>Adam Sioud</dc:creator>
  <cp:keywords>compute-bazaar-bench, synthetic, CB-2026-041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