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Buyer Compute Intake</w:t>
      </w:r>
    </w:p>
    <w:p>
      <w:pPr>
        <w:pStyle w:val="Subtitle"/>
      </w:pPr>
      <w:r>
        <w:t>Initial procurement intake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Opportunity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CB-2026-041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Buyer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Mandate owner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Maya Chen, Director of Infrastructure Procurement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Prepared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July 29,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Initial intake - subject to follow-up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Synthetic matter: </w:t>
            </w:r>
            <w:r>
              <w:t>All entities, people, facilities, documents, and figures in this file are fictional and created for evaluation.</w:t>
            </w:r>
          </w:p>
        </w:tc>
      </w:tr>
    </w:tbl>
    <w:p>
      <w:pPr>
        <w:spacing w:after="0"/>
      </w:pPr>
    </w:p>
    <w:p>
      <w:pPr>
        <w:pStyle w:val="Heading1"/>
      </w:pPr>
      <w:r>
        <w:t>1. Capacity request</w:t>
      </w:r>
    </w:p>
    <w:p>
      <w:pPr>
        <w:ind w:left="173" w:hanging="173"/>
      </w:pPr>
      <w:r>
        <w:rPr>
          <w:b/>
          <w:color w:val="1F4D78"/>
        </w:rPr>
        <w:t xml:space="preserve">Requested capacity: </w:t>
      </w:r>
      <w:r>
        <w:t>1,024 NVIDIA B200 SXM GPUs, with a possible second block of 1,024 if economics and timing work</w:t>
      </w:r>
    </w:p>
    <w:p>
      <w:pPr>
        <w:ind w:left="173" w:hanging="173"/>
      </w:pPr>
      <w:r>
        <w:rPr>
          <w:b/>
          <w:color w:val="1F4D78"/>
        </w:rPr>
        <w:t xml:space="preserve">Node format: </w:t>
      </w:r>
      <w:r>
        <w:t>Eight-GPU HGX B200 nodes</w:t>
      </w:r>
    </w:p>
    <w:p>
      <w:pPr>
        <w:ind w:left="173" w:hanging="173"/>
      </w:pPr>
      <w:r>
        <w:rPr>
          <w:b/>
          <w:color w:val="1F4D78"/>
        </w:rPr>
        <w:t xml:space="preserve">Deployment: </w:t>
      </w:r>
      <w:r>
        <w:t>Dedicated capacity; shared or fractional GPU service is not acceptable</w:t>
      </w:r>
    </w:p>
    <w:p>
      <w:pPr>
        <w:ind w:left="173" w:hanging="173"/>
      </w:pPr>
      <w:r>
        <w:rPr>
          <w:b/>
          <w:color w:val="1F4D78"/>
        </w:rPr>
        <w:t xml:space="preserve">Required service date: </w:t>
      </w:r>
      <w:r>
        <w:t>January 1, 2027 for all requested capacity</w:t>
      </w:r>
    </w:p>
    <w:p>
      <w:pPr>
        <w:ind w:left="173" w:hanging="173"/>
      </w:pPr>
      <w:r>
        <w:rPr>
          <w:b/>
          <w:color w:val="1F4D78"/>
        </w:rPr>
        <w:t xml:space="preserve">Initial term: </w:t>
      </w:r>
      <w:r>
        <w:t>12 months</w:t>
      </w:r>
    </w:p>
    <w:p>
      <w:pPr>
        <w:ind w:left="173" w:hanging="173"/>
      </w:pPr>
      <w:r>
        <w:rPr>
          <w:b/>
          <w:color w:val="1F4D78"/>
        </w:rPr>
        <w:t xml:space="preserve">Location: </w:t>
      </w:r>
      <w:r>
        <w:t>Virginia preferred; open to US East or US Midwest if the technical requirements are met</w:t>
      </w:r>
    </w:p>
    <w:p>
      <w:pPr>
        <w:pStyle w:val="Heading1"/>
      </w:pPr>
      <w:r>
        <w:t>2. Commercial intake</w:t>
      </w:r>
    </w:p>
    <w:p>
      <w:pPr>
        <w:ind w:left="173" w:hanging="173"/>
      </w:pPr>
      <w:r>
        <w:rPr>
          <w:b/>
          <w:color w:val="1F4D78"/>
        </w:rPr>
        <w:t xml:space="preserve">Budget: </w:t>
      </w:r>
      <w:r>
        <w:t>$3.10 per GPU-hour all-in, excluding taxes; marked as maximum in the intake call</w:t>
      </w:r>
    </w:p>
    <w:p>
      <w:pPr>
        <w:ind w:left="173" w:hanging="173"/>
      </w:pPr>
      <w:r>
        <w:rPr>
          <w:b/>
          <w:color w:val="1F4D78"/>
        </w:rPr>
        <w:t xml:space="preserve">Prepayment: </w:t>
      </w:r>
      <w:r>
        <w:t>Up to four months may be possible</w:t>
      </w:r>
    </w:p>
    <w:p>
      <w:pPr>
        <w:ind w:left="173" w:hanging="173"/>
      </w:pPr>
      <w:r>
        <w:rPr>
          <w:b/>
          <w:color w:val="1F4D78"/>
        </w:rPr>
        <w:t xml:space="preserve">Billing: </w:t>
      </w:r>
      <w:r>
        <w:t>Monthly in US dollars</w:t>
      </w:r>
    </w:p>
    <w:p>
      <w:pPr>
        <w:ind w:left="173" w:hanging="173"/>
      </w:pPr>
      <w:r>
        <w:rPr>
          <w:b/>
          <w:color w:val="1F4D78"/>
        </w:rPr>
        <w:t xml:space="preserve">Other charges: </w:t>
      </w:r>
      <w:r>
        <w:t>Egress and implementation charges not yet discussed</w:t>
      </w:r>
    </w:p>
    <w:p>
      <w:pPr>
        <w:ind w:left="173" w:hanging="173"/>
      </w:pPr>
      <w:r>
        <w:rPr>
          <w:b/>
          <w:color w:val="1F4D78"/>
        </w:rPr>
        <w:t xml:space="preserve">Credit: </w:t>
      </w:r>
      <w:r>
        <w:t>Buyer can provide audited financials after counterparty qualification</w:t>
      </w:r>
    </w:p>
    <w:p>
      <w:pPr>
        <w:pStyle w:val="Heading1"/>
      </w:pPr>
      <w:r>
        <w:t>3. Technical and operating notes</w:t>
      </w:r>
    </w:p>
    <w:p>
      <w:pPr>
        <w:ind w:left="173" w:hanging="173"/>
      </w:pPr>
      <w:r>
        <w:rPr>
          <w:b/>
          <w:color w:val="1F4D78"/>
        </w:rPr>
        <w:t xml:space="preserve">Workload: </w:t>
      </w:r>
      <w:r>
        <w:t>Large multimodal training program with sustained utilization</w:t>
      </w:r>
    </w:p>
    <w:p>
      <w:pPr>
        <w:ind w:left="173" w:hanging="173"/>
      </w:pPr>
      <w:r>
        <w:rPr>
          <w:b/>
          <w:color w:val="1F4D78"/>
        </w:rPr>
        <w:t xml:space="preserve">Network: </w:t>
      </w:r>
      <w:r>
        <w:t>High-performance fabric required; see engineering requirements</w:t>
      </w:r>
    </w:p>
    <w:p>
      <w:pPr>
        <w:ind w:left="173" w:hanging="173"/>
      </w:pPr>
      <w:r>
        <w:rPr>
          <w:b/>
          <w:color w:val="1F4D78"/>
        </w:rPr>
        <w:t xml:space="preserve">Storage: </w:t>
      </w:r>
      <w:r>
        <w:t>Shared high-throughput storage required; see engineering requirements</w:t>
      </w:r>
    </w:p>
    <w:p>
      <w:pPr>
        <w:ind w:left="173" w:hanging="173"/>
      </w:pPr>
      <w:r>
        <w:rPr>
          <w:b/>
          <w:color w:val="1F4D78"/>
        </w:rPr>
        <w:t xml:space="preserve">Availability: </w:t>
      </w:r>
      <w:r>
        <w:t>Production-grade cluster availability</w:t>
      </w:r>
    </w:p>
    <w:p>
      <w:pPr>
        <w:ind w:left="173" w:hanging="173"/>
      </w:pPr>
      <w:r>
        <w:rPr>
          <w:b/>
          <w:color w:val="1F4D78"/>
        </w:rPr>
        <w:t xml:space="preserve">Security: </w:t>
      </w:r>
      <w:r>
        <w:t>SOC 2 and customer-controlled encryption expected</w:t>
      </w:r>
    </w:p>
    <w:p>
      <w:pPr>
        <w:ind w:left="173" w:hanging="173"/>
      </w:pPr>
      <w:r>
        <w:rPr>
          <w:b/>
          <w:color w:val="1F4D78"/>
        </w:rPr>
        <w:t xml:space="preserve">Sustainability: </w:t>
      </w:r>
      <w:r>
        <w:t>Renewable-backed power would be useful for reporting</w:t>
      </w:r>
    </w:p>
    <w:p>
      <w:pPr>
        <w:pStyle w:val="Heading1"/>
      </w:pPr>
      <w:r>
        <w:t>4. Questions left open at intake</w:t>
      </w:r>
    </w:p>
    <w:p>
      <w:pPr>
        <w:ind w:left="173" w:hanging="173"/>
      </w:pPr>
      <w:r>
        <w:rPr>
          <w:b/>
          <w:color w:val="1F4D78"/>
        </w:rPr>
        <w:t xml:space="preserve">Supplier: </w:t>
      </w:r>
      <w:r>
        <w:t>No provider or campus selected</w:t>
      </w:r>
    </w:p>
    <w:p>
      <w:pPr>
        <w:ind w:left="173" w:hanging="173"/>
      </w:pPr>
      <w:r>
        <w:rPr>
          <w:b/>
          <w:color w:val="1F4D78"/>
        </w:rPr>
        <w:t xml:space="preserve">Capacity control: </w:t>
      </w:r>
      <w:r>
        <w:t>No title, financing, utility, or commissioning evidence reviewed</w:t>
      </w:r>
    </w:p>
    <w:p>
      <w:pPr>
        <w:ind w:left="173" w:hanging="173"/>
      </w:pPr>
      <w:r>
        <w:rPr>
          <w:b/>
          <w:color w:val="1F4D78"/>
        </w:rPr>
        <w:t xml:space="preserve">Acceptance: </w:t>
      </w:r>
      <w:r>
        <w:t>Performance test and pass threshold still to be defined</w:t>
      </w:r>
    </w:p>
    <w:p>
      <w:pPr>
        <w:ind w:left="173" w:hanging="173"/>
      </w:pPr>
      <w:r>
        <w:rPr>
          <w:b/>
          <w:color w:val="1F4D78"/>
        </w:rPr>
        <w:t xml:space="preserve">Expansion: </w:t>
      </w:r>
      <w:r>
        <w:t>Timing and price for the possible second 1,024 GPUs still open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NORTHSTAR MODELS - BUYER COMPUTE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