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Buyer Mandate Brief</w:t>
      </w:r>
    </w:p>
    <w:p>
      <w:pPr>
        <w:pStyle w:val="Subtitle"/>
      </w:pPr>
      <w:r>
        <w:t>Normalized mandate for Northstar Models, Inc.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b/>
                <w:color w:val="1F4D78"/>
              </w:rPr>
              <w:t>Opportunity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CB-2026-041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b/>
                <w:color w:val="1F4D78"/>
              </w:rPr>
              <w:t>Buyer / mandate owner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Northstar Models, Inc. / Maya Chen, Director of Infrastructure Procurement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b/>
                <w:color w:val="1F4D78"/>
              </w:rPr>
              <w:t>Prepared from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July 29 intake; August 4 workload brief; August 7 procurement follow-up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b/>
                <w:color w:val="1F4D78"/>
              </w:rPr>
              <w:t>Purpose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Supplier qualification and first-round commercial engagement</w:t>
            </w:r>
          </w:p>
        </w:tc>
      </w:tr>
    </w:tbl>
    <w:p/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b/>
                <w:color w:val="1F4D78"/>
              </w:rPr>
              <w:t xml:space="preserve">Controlling-source rule: </w:t>
            </w:r>
            <w:r>
              <w:t>The August 7 procurement follow-up controls where it expressly updates the July 29 intake. The August 4 workload brief controls detailed technical requirements.</w:t>
            </w:r>
          </w:p>
        </w:tc>
      </w:tr>
    </w:tbl>
    <w:p>
      <w:pPr>
        <w:spacing w:after="0"/>
      </w:pPr>
    </w:p>
    <w:p>
      <w:pPr>
        <w:pStyle w:val="Heading1"/>
      </w:pPr>
      <w:r>
        <w:t>1. Mandate at a glance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5800"/>
        <w:gridCol w:w="1860"/>
      </w:tblGrid>
      <w:tr>
        <w:trPr>
          <w:tblHeader w:val="true"/>
          <w:cantSplit/>
        </w:trPr>
        <w:tc>
          <w:tcPr>
            <w:tcW w:type="dxa" w:w="1700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800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Controlling position</w:t>
            </w:r>
          </w:p>
        </w:tc>
        <w:tc>
          <w:tcPr>
            <w:tcW w:type="dxa" w:w="1860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Class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>Firm capacity</w:t>
            </w:r>
          </w:p>
        </w:tc>
        <w:tc>
          <w:tcPr>
            <w:tcW w:type="dxa" w:w="5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>1,024 NVIDIA B200 SXM GPUs; 128 dedicated eight-GPU HGX B200 nodes</w:t>
            </w:r>
          </w:p>
        </w:tc>
        <w:tc>
          <w:tcPr>
            <w:tcW w:type="dxa" w:w="1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>Required</w:t>
            </w:r>
          </w:p>
        </w:tc>
      </w:tr>
      <w:tr>
        <w:trPr>
          <w:cantSplit/>
        </w:trPr>
        <w:tc>
          <w:tcPr>
            <w:tcW w:type="dxa" w:w="1700"/>
            <w:shd w:fill="F8FAF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>Expansion</w:t>
            </w:r>
          </w:p>
        </w:tc>
        <w:tc>
          <w:tcPr>
            <w:tcW w:type="dxa" w:w="5800"/>
            <w:shd w:fill="F8FAF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>Option interest for a further 1,024 GPUs; not firm demand</w:t>
            </w:r>
          </w:p>
        </w:tc>
        <w:tc>
          <w:tcPr>
            <w:tcW w:type="dxa" w:w="1860"/>
            <w:shd w:fill="F8FAF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>Optional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>Ramp</w:t>
            </w:r>
          </w:p>
        </w:tc>
        <w:tc>
          <w:tcPr>
            <w:tcW w:type="dxa" w:w="5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>512 GPUs by Jan. 15, 2027; remaining 512 by Feb. 1, 2027</w:t>
            </w:r>
          </w:p>
        </w:tc>
        <w:tc>
          <w:tcPr>
            <w:tcW w:type="dxa" w:w="1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>Required</w:t>
            </w:r>
          </w:p>
        </w:tc>
      </w:tr>
      <w:tr>
        <w:trPr>
          <w:cantSplit/>
        </w:trPr>
        <w:tc>
          <w:tcPr>
            <w:tcW w:type="dxa" w:w="1700"/>
            <w:shd w:fill="F8FAF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>Term</w:t>
            </w:r>
          </w:p>
        </w:tc>
        <w:tc>
          <w:tcPr>
            <w:tcW w:type="dxa" w:w="5800"/>
            <w:shd w:fill="F8FAF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>18 months from first-tranche service; one six-month extension option</w:t>
            </w:r>
          </w:p>
        </w:tc>
        <w:tc>
          <w:tcPr>
            <w:tcW w:type="dxa" w:w="1860"/>
            <w:shd w:fill="F8FAF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>Required / option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>Geography</w:t>
            </w:r>
          </w:p>
        </w:tc>
        <w:tc>
          <w:tcPr>
            <w:tcW w:type="dxa" w:w="5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>US East or US Midwest; Virginia preferred</w:t>
            </w:r>
          </w:p>
        </w:tc>
        <w:tc>
          <w:tcPr>
            <w:tcW w:type="dxa" w:w="1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>Required / preference</w:t>
            </w:r>
          </w:p>
        </w:tc>
      </w:tr>
      <w:tr>
        <w:trPr>
          <w:cantSplit/>
        </w:trPr>
        <w:tc>
          <w:tcPr>
            <w:tcW w:type="dxa" w:w="1700"/>
            <w:shd w:fill="F8FAF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>Price</w:t>
            </w:r>
          </w:p>
        </w:tc>
        <w:tc>
          <w:tcPr>
            <w:tcW w:type="dxa" w:w="5800"/>
            <w:shd w:fill="F8FAF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>$3.10/GPU-hour target; $3.35/GPU-hour hard all-in cap; taxes excluded</w:t>
            </w:r>
          </w:p>
        </w:tc>
        <w:tc>
          <w:tcPr>
            <w:tcW w:type="dxa" w:w="1860"/>
            <w:shd w:fill="F8FAF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>Target / cap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>Prepayment</w:t>
            </w:r>
          </w:p>
        </w:tc>
        <w:tc>
          <w:tcPr>
            <w:tcW w:type="dxa" w:w="5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>No more than three months of committed charges</w:t>
            </w:r>
          </w:p>
        </w:tc>
        <w:tc>
          <w:tcPr>
            <w:tcW w:type="dxa" w:w="1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>Hard limit</w:t>
            </w:r>
          </w:p>
        </w:tc>
      </w:tr>
    </w:tbl>
    <w:p>
      <w:pPr>
        <w:spacing w:after="0"/>
      </w:pPr>
    </w:p>
    <w:p>
      <w:pPr>
        <w:pStyle w:val="Heading1"/>
      </w:pPr>
      <w:r>
        <w:t>2. Source conflicts resolved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450"/>
        <w:gridCol w:w="2350"/>
        <w:gridCol w:w="3000"/>
        <w:gridCol w:w="2560"/>
      </w:tblGrid>
      <w:tr>
        <w:trPr>
          <w:tblHeader w:val="true"/>
          <w:cantSplit/>
        </w:trPr>
        <w:tc>
          <w:tcPr>
            <w:tcW w:type="dxa" w:w="1450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Topic</w:t>
            </w:r>
          </w:p>
        </w:tc>
        <w:tc>
          <w:tcPr>
            <w:tcW w:type="dxa" w:w="2350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Earlier intake</w:t>
            </w:r>
          </w:p>
        </w:tc>
        <w:tc>
          <w:tcPr>
            <w:tcW w:type="dxa" w:w="3000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Later instruction</w:t>
            </w:r>
          </w:p>
        </w:tc>
        <w:tc>
          <w:tcPr>
            <w:tcW w:type="dxa" w:w="2560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Treatment</w:t>
            </w:r>
          </w:p>
        </w:tc>
      </w:tr>
      <w:tr>
        <w:trPr>
          <w:cantSplit/>
        </w:trPr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>Delivery</w:t>
            </w:r>
          </w:p>
        </w:tc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>All 1,024 by Jan. 1, 2027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>512 by Jan. 15; 512 by Feb. 1</w:t>
            </w:r>
          </w:p>
        </w:tc>
        <w:tc>
          <w:tcPr>
            <w:tcW w:type="dxa" w:w="2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>Later staged ramp controls</w:t>
            </w:r>
          </w:p>
        </w:tc>
      </w:tr>
      <w:tr>
        <w:trPr>
          <w:cantSplit/>
        </w:trPr>
        <w:tc>
          <w:tcPr>
            <w:tcW w:type="dxa" w:w="1450"/>
            <w:shd w:fill="F8FAF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>Term</w:t>
            </w:r>
          </w:p>
        </w:tc>
        <w:tc>
          <w:tcPr>
            <w:tcW w:type="dxa" w:w="2350"/>
            <w:shd w:fill="F8FAF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>12 months</w:t>
            </w:r>
          </w:p>
        </w:tc>
        <w:tc>
          <w:tcPr>
            <w:tcW w:type="dxa" w:w="3000"/>
            <w:shd w:fill="F8FAF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>18 months plus six-month option</w:t>
            </w:r>
          </w:p>
        </w:tc>
        <w:tc>
          <w:tcPr>
            <w:tcW w:type="dxa" w:w="2560"/>
            <w:shd w:fill="F8FAF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>Later term controls</w:t>
            </w:r>
          </w:p>
        </w:tc>
      </w:tr>
      <w:tr>
        <w:trPr>
          <w:cantSplit/>
        </w:trPr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>Price</w:t>
            </w:r>
          </w:p>
        </w:tc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>$3.10 marked maximum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>$3.10 target; $3.35 hard cap</w:t>
            </w:r>
          </w:p>
        </w:tc>
        <w:tc>
          <w:tcPr>
            <w:tcW w:type="dxa" w:w="2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>Preserve target and cap</w:t>
            </w:r>
          </w:p>
        </w:tc>
      </w:tr>
      <w:tr>
        <w:trPr>
          <w:cantSplit/>
        </w:trPr>
        <w:tc>
          <w:tcPr>
            <w:tcW w:type="dxa" w:w="1450"/>
            <w:shd w:fill="F8FAF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>Prepayment</w:t>
            </w:r>
          </w:p>
        </w:tc>
        <w:tc>
          <w:tcPr>
            <w:tcW w:type="dxa" w:w="2350"/>
            <w:shd w:fill="F8FAF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>Up to four months</w:t>
            </w:r>
          </w:p>
        </w:tc>
        <w:tc>
          <w:tcPr>
            <w:tcW w:type="dxa" w:w="3000"/>
            <w:shd w:fill="F8FAF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>Maximum three months</w:t>
            </w:r>
          </w:p>
        </w:tc>
        <w:tc>
          <w:tcPr>
            <w:tcW w:type="dxa" w:w="2560"/>
            <w:shd w:fill="F8FAF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>Three-month limit controls</w:t>
            </w:r>
          </w:p>
        </w:tc>
      </w:tr>
    </w:tbl>
    <w:p>
      <w:pPr>
        <w:spacing w:after="0"/>
      </w:pPr>
    </w:p>
    <w:p>
      <w:pPr>
        <w:pStyle w:val="Heading1"/>
      </w:pPr>
      <w:r>
        <w:t>3. Technical requirements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50"/>
        <w:gridCol w:w="7510"/>
      </w:tblGrid>
      <w:tr>
        <w:trPr>
          <w:tblHeader w:val="true"/>
          <w:cantSplit/>
        </w:trPr>
        <w:tc>
          <w:tcPr>
            <w:tcW w:type="dxa" w:w="1850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7510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Requirement</w:t>
            </w:r>
          </w:p>
        </w:tc>
      </w:tr>
      <w:tr>
        <w:trPr>
          <w:cantSplit/>
        </w:trPr>
        <w:tc>
          <w:tcPr>
            <w:tcW w:type="dxa" w:w="1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>Deployment</w:t>
            </w:r>
          </w:p>
        </w:tc>
        <w:tc>
          <w:tcPr>
            <w:tcW w:type="dxa" w:w="7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>Dedicated homogeneous capacity; no shared or fractional GPU service; no GPU-generation or material node substitution without Northstar's written consent.</w:t>
            </w:r>
          </w:p>
        </w:tc>
      </w:tr>
      <w:tr>
        <w:trPr>
          <w:cantSplit/>
        </w:trPr>
        <w:tc>
          <w:tcPr>
            <w:tcW w:type="dxa" w:w="1850"/>
            <w:shd w:fill="F8FAF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>Workload</w:t>
            </w:r>
          </w:p>
        </w:tc>
        <w:tc>
          <w:tcPr>
            <w:tcW w:type="dxa" w:w="7510"/>
            <w:shd w:fill="F8FAF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>Sustained multimodal pretraining, then fine-tuning and evaluation; buyer software image must support its CUDA 13 toolchain.</w:t>
            </w:r>
          </w:p>
        </w:tc>
      </w:tr>
      <w:tr>
        <w:trPr>
          <w:cantSplit/>
        </w:trPr>
        <w:tc>
          <w:tcPr>
            <w:tcW w:type="dxa" w:w="1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>Fabric</w:t>
            </w:r>
          </w:p>
        </w:tc>
        <w:tc>
          <w:tcPr>
            <w:tcW w:type="dxa" w:w="7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>At least one 400 Gb/s endpoint per GPU. Dual-rail 800 Gb/s is preferred, not mandatory.</w:t>
            </w:r>
          </w:p>
        </w:tc>
      </w:tr>
      <w:tr>
        <w:trPr>
          <w:cantSplit/>
        </w:trPr>
        <w:tc>
          <w:tcPr>
            <w:tcW w:type="dxa" w:w="1850"/>
            <w:shd w:fill="F8FAF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>External ingress</w:t>
            </w:r>
          </w:p>
        </w:tc>
        <w:tc>
          <w:tcPr>
            <w:tcW w:type="dxa" w:w="7510"/>
            <w:shd w:fill="F8FAF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>At least 200 Gb/s committed; 400 Gb/s preferred.</w:t>
            </w:r>
          </w:p>
        </w:tc>
      </w:tr>
      <w:tr>
        <w:trPr>
          <w:cantSplit/>
        </w:trPr>
        <w:tc>
          <w:tcPr>
            <w:tcW w:type="dxa" w:w="1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>Storage</w:t>
            </w:r>
          </w:p>
        </w:tc>
        <w:tc>
          <w:tcPr>
            <w:tcW w:type="dxa" w:w="7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>6 PiB usable shared storage; 1.2 TB/s aggregate sustained read and 800 GB/s aggregate sustained write.</w:t>
            </w:r>
          </w:p>
        </w:tc>
      </w:tr>
      <w:tr>
        <w:trPr>
          <w:cantSplit/>
        </w:trPr>
        <w:tc>
          <w:tcPr>
            <w:tcW w:type="dxa" w:w="1850"/>
            <w:shd w:fill="F8FAF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>Availability</w:t>
            </w:r>
          </w:p>
        </w:tc>
        <w:tc>
          <w:tcPr>
            <w:tcW w:type="dxa" w:w="7510"/>
            <w:shd w:fill="F8FAF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>At least 99.5% per calendar month; planned maintenance no more than eight hours per month with at least seven days' notice.</w:t>
            </w:r>
          </w:p>
        </w:tc>
      </w:tr>
      <w:tr>
        <w:trPr>
          <w:cantSplit/>
        </w:trPr>
        <w:tc>
          <w:tcPr>
            <w:tcW w:type="dxa" w:w="1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>Acceptance</w:t>
            </w:r>
          </w:p>
        </w:tc>
        <w:tc>
          <w:tcPr>
            <w:tcW w:type="dxa" w:w="7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>72-hour burn-in, serial and inventory attestation, and NCCL benchmark against a reference and pass threshold agreed before signing.</w:t>
            </w:r>
          </w:p>
        </w:tc>
      </w:tr>
      <w:tr>
        <w:trPr>
          <w:cantSplit/>
        </w:trPr>
        <w:tc>
          <w:tcPr>
            <w:tcW w:type="dxa" w:w="1850"/>
            <w:shd w:fill="F8FAF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>Security</w:t>
            </w:r>
          </w:p>
        </w:tc>
        <w:tc>
          <w:tcPr>
            <w:tcW w:type="dxa" w:w="7510"/>
            <w:shd w:fill="F8FAF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>Current SOC 2 Type II report; customer-managed encryption keys; United States data residency; exportable administrative and workload-access audit logs; controlled physical access and named-person access records for the GPU hall.</w:t>
            </w:r>
          </w:p>
        </w:tc>
      </w:tr>
      <w:tr>
        <w:trPr>
          <w:cantSplit/>
        </w:trPr>
        <w:tc>
          <w:tcPr>
            <w:tcW w:type="dxa" w:w="1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>Sustainability</w:t>
            </w:r>
          </w:p>
        </w:tc>
        <w:tc>
          <w:tcPr>
            <w:tcW w:type="dxa" w:w="7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>Hourly renewable-energy matching is preferred for reporting but is not a condition to proceed.</w:t>
            </w:r>
          </w:p>
        </w:tc>
      </w:tr>
    </w:tbl>
    <w:p>
      <w:pPr>
        <w:spacing w:after="0"/>
      </w:pPr>
    </w:p>
    <w:p>
      <w:pPr>
        <w:pStyle w:val="Heading1"/>
      </w:pPr>
      <w:r>
        <w:t>4. Commercial exposure</w:t>
      </w:r>
    </w:p>
    <w:p>
      <w:r>
        <w:t>Base-term calculation uses the staged ramp and an end boundary of July 15, 2028: 512 GPUs x 17 days x 24 hours, plus 1,024 GPUs x 530 days x 24 hours = 13,234,176 committed GPU-hours.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00"/>
        <w:gridCol w:w="1900"/>
        <w:gridCol w:w="2400"/>
        <w:gridCol w:w="3460"/>
      </w:tblGrid>
      <w:tr>
        <w:trPr>
          <w:tblHeader w:val="true"/>
          <w:cantSplit/>
        </w:trPr>
        <w:tc>
          <w:tcPr>
            <w:tcW w:type="dxa" w:w="1600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Case</w:t>
            </w:r>
          </w:p>
        </w:tc>
        <w:tc>
          <w:tcPr>
            <w:tcW w:type="dxa" w:w="1900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Rate</w:t>
            </w:r>
          </w:p>
        </w:tc>
        <w:tc>
          <w:tcPr>
            <w:tcW w:type="dxa" w:w="2400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Committed GPU-hours</w:t>
            </w:r>
          </w:p>
        </w:tc>
        <w:tc>
          <w:tcPr>
            <w:tcW w:type="dxa" w:w="3460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Estimated base-term charges</w:t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>Target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>$3.10/GPU-hour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>13,234,176</w:t>
            </w:r>
          </w:p>
        </w:tc>
        <w:tc>
          <w:tcPr>
            <w:tcW w:type="dxa" w:w="3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>$41,025,945.60</w:t>
            </w:r>
          </w:p>
        </w:tc>
      </w:tr>
      <w:tr>
        <w:trPr>
          <w:cantSplit/>
        </w:trPr>
        <w:tc>
          <w:tcPr>
            <w:tcW w:type="dxa" w:w="1600"/>
            <w:shd w:fill="F8FAF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>Hard cap</w:t>
            </w:r>
          </w:p>
        </w:tc>
        <w:tc>
          <w:tcPr>
            <w:tcW w:type="dxa" w:w="1900"/>
            <w:shd w:fill="F8FAF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>$3.35/GPU-hour</w:t>
            </w:r>
          </w:p>
        </w:tc>
        <w:tc>
          <w:tcPr>
            <w:tcW w:type="dxa" w:w="2400"/>
            <w:shd w:fill="F8FAF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>13,234,176</w:t>
            </w:r>
          </w:p>
        </w:tc>
        <w:tc>
          <w:tcPr>
            <w:tcW w:type="dxa" w:w="3460"/>
            <w:shd w:fill="F8FAF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>$44,334,489.60</w:t>
            </w:r>
          </w:p>
        </w:tc>
      </w:tr>
    </w:tbl>
    <w:p>
      <w:pPr>
        <w:spacing w:after="0"/>
      </w:pPr>
    </w:p>
    <w:p>
      <w:r>
        <w:t>The estimate excludes taxes and the optional expansion. Deposit dollars remain open until the final rate and monthly-hour billing convention are agreed. Any power, implementation, or other pass-through must be tested against the $3.35 all-in cap; egress pricing remains unresolved.</w:t>
      </w:r>
    </w:p>
    <w:p>
      <w:pPr>
        <w:pStyle w:val="Heading1"/>
      </w:pPr>
      <w:r>
        <w:t>5. Open diligence and commercial points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350"/>
        <w:gridCol w:w="4550"/>
        <w:gridCol w:w="3460"/>
      </w:tblGrid>
      <w:tr>
        <w:trPr>
          <w:tblHeader w:val="true"/>
          <w:cantSplit/>
        </w:trPr>
        <w:tc>
          <w:tcPr>
            <w:tcW w:type="dxa" w:w="1350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4550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Question or evidence</w:t>
            </w:r>
          </w:p>
        </w:tc>
        <w:tc>
          <w:tcPr>
            <w:tcW w:type="dxa" w:w="3460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Why it matters</w:t>
            </w:r>
          </w:p>
        </w:tc>
      </w:tr>
      <w:tr>
        <w:trPr>
          <w:cantSplit/>
        </w:trPr>
        <w:tc>
          <w:tcPr>
            <w:tcW w:type="dxa" w:w="1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>Signing gate</w:t>
            </w:r>
          </w:p>
        </w:tc>
        <w:tc>
          <w:tcPr>
            <w:tcW w:type="dxa" w:w="4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>Confirm the provider legal entity and its control of the offered capacity.</w:t>
            </w:r>
          </w:p>
        </w:tc>
        <w:tc>
          <w:tcPr>
            <w:tcW w:type="dxa" w:w="3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>Counterparty authority and performance recourse</w:t>
            </w:r>
          </w:p>
        </w:tc>
      </w:tr>
      <w:tr>
        <w:trPr>
          <w:cantSplit/>
        </w:trPr>
        <w:tc>
          <w:tcPr>
            <w:tcW w:type="dxa" w:w="1350"/>
            <w:shd w:fill="F8FAF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>Signing gate</w:t>
            </w:r>
          </w:p>
        </w:tc>
        <w:tc>
          <w:tcPr>
            <w:tcW w:type="dxa" w:w="4550"/>
            <w:shd w:fill="F8FAF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>Provide hardware title, serials, financing liens, and release or consent mechanics.</w:t>
            </w:r>
          </w:p>
        </w:tc>
        <w:tc>
          <w:tcPr>
            <w:tcW w:type="dxa" w:w="3460"/>
            <w:shd w:fill="F8FAF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>Avoid unavailable or encumbered inventory</w:t>
            </w:r>
          </w:p>
        </w:tc>
      </w:tr>
      <w:tr>
        <w:trPr>
          <w:cantSplit/>
        </w:trPr>
        <w:tc>
          <w:tcPr>
            <w:tcW w:type="dxa" w:w="1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>Signing gate</w:t>
            </w:r>
          </w:p>
        </w:tc>
        <w:tc>
          <w:tcPr>
            <w:tcW w:type="dxa" w:w="4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>Substantiate utility service, facility commissioning, and the two delivery dates.</w:t>
            </w:r>
          </w:p>
        </w:tc>
        <w:tc>
          <w:tcPr>
            <w:tcW w:type="dxa" w:w="3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>Delivery credibility</w:t>
            </w:r>
          </w:p>
        </w:tc>
      </w:tr>
      <w:tr>
        <w:trPr>
          <w:cantSplit/>
        </w:trPr>
        <w:tc>
          <w:tcPr>
            <w:tcW w:type="dxa" w:w="1350"/>
            <w:shd w:fill="F8FAF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>Technical</w:t>
            </w:r>
          </w:p>
        </w:tc>
        <w:tc>
          <w:tcPr>
            <w:tcW w:type="dxa" w:w="4550"/>
            <w:shd w:fill="F8FAF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>Provide topology, port allocation, carrier order, and benchmark evidence.</w:t>
            </w:r>
          </w:p>
        </w:tc>
        <w:tc>
          <w:tcPr>
            <w:tcW w:type="dxa" w:w="3460"/>
            <w:shd w:fill="F8FAF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>Fabric and ingress compliance</w:t>
            </w:r>
          </w:p>
        </w:tc>
      </w:tr>
      <w:tr>
        <w:trPr>
          <w:cantSplit/>
        </w:trPr>
        <w:tc>
          <w:tcPr>
            <w:tcW w:type="dxa" w:w="1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>Acceptance</w:t>
            </w:r>
          </w:p>
        </w:tc>
        <w:tc>
          <w:tcPr>
            <w:tcW w:type="dxa" w:w="4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>Agree the NCCL reference configuration and passing threshold.</w:t>
            </w:r>
          </w:p>
        </w:tc>
        <w:tc>
          <w:tcPr>
            <w:tcW w:type="dxa" w:w="3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>Objective acceptance</w:t>
            </w:r>
          </w:p>
        </w:tc>
      </w:tr>
      <w:tr>
        <w:trPr>
          <w:cantSplit/>
        </w:trPr>
        <w:tc>
          <w:tcPr>
            <w:tcW w:type="dxa" w:w="1350"/>
            <w:shd w:fill="F8FAF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>Commercial</w:t>
            </w:r>
          </w:p>
        </w:tc>
        <w:tc>
          <w:tcPr>
            <w:tcW w:type="dxa" w:w="4550"/>
            <w:shd w:fill="F8FAF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>Confirm egress and non-GPU charges, extension exercise deadline, and extension pricing.</w:t>
            </w:r>
          </w:p>
        </w:tc>
        <w:tc>
          <w:tcPr>
            <w:tcW w:type="dxa" w:w="3460"/>
            <w:shd w:fill="F8FAF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>True all-in cost and option value</w:t>
            </w:r>
          </w:p>
        </w:tc>
      </w:tr>
      <w:tr>
        <w:trPr>
          <w:cantSplit/>
        </w:trPr>
        <w:tc>
          <w:tcPr>
            <w:tcW w:type="dxa" w:w="1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>Commercial</w:t>
            </w:r>
          </w:p>
        </w:tc>
        <w:tc>
          <w:tcPr>
            <w:tcW w:type="dxa" w:w="4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>Confirm the billing-hour convention and deposit calculation.</w:t>
            </w:r>
          </w:p>
        </w:tc>
        <w:tc>
          <w:tcPr>
            <w:tcW w:type="dxa" w:w="3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>Cash exposure</w:t>
            </w:r>
          </w:p>
        </w:tc>
      </w:tr>
    </w:tbl>
    <w:p>
      <w:pPr>
        <w:spacing w:after="0"/>
      </w:pPr>
    </w:p>
    <w:p>
      <w:pPr>
        <w:pStyle w:val="Heading1"/>
      </w:pPr>
      <w:r>
        <w:t>6. Recommended next actions</w:t>
      </w:r>
    </w:p>
    <w:p>
      <w:pPr>
        <w:ind w:left="173" w:hanging="173"/>
      </w:pPr>
      <w:r>
        <w:rPr>
          <w:b/>
          <w:color w:val="1F4D78"/>
        </w:rPr>
        <w:t xml:space="preserve">1 - Supplier evidence: </w:t>
      </w:r>
      <w:r>
        <w:t>Issue a focused request for entity, capacity-control, title and lien, power, commissioning, network, and security evidence.</w:t>
      </w:r>
    </w:p>
    <w:p>
      <w:pPr>
        <w:ind w:left="173" w:hanging="173"/>
      </w:pPr>
      <w:r>
        <w:rPr>
          <w:b/>
          <w:color w:val="1F4D78"/>
        </w:rPr>
        <w:t xml:space="preserve">2 - Commercial clarification: </w:t>
      </w:r>
      <w:r>
        <w:t>Require an all-in price build, egress schedule, deposit mechanics, and extension terms before comparing offers.</w:t>
      </w:r>
    </w:p>
    <w:p>
      <w:pPr>
        <w:ind w:left="173" w:hanging="173"/>
      </w:pPr>
      <w:r>
        <w:rPr>
          <w:b/>
          <w:color w:val="1F4D78"/>
        </w:rPr>
        <w:t xml:space="preserve">3 - Technical validation: </w:t>
      </w:r>
      <w:r>
        <w:t>Review topology, storage architecture, external connectivity, software matrix, and operating history.</w:t>
      </w:r>
    </w:p>
    <w:p>
      <w:pPr>
        <w:ind w:left="173" w:hanging="173"/>
      </w:pPr>
      <w:r>
        <w:rPr>
          <w:b/>
          <w:color w:val="1F4D78"/>
        </w:rPr>
        <w:t xml:space="preserve">4 - Acceptance definition: </w:t>
      </w:r>
      <w:r>
        <w:t>Freeze the burn-in procedure, inventory attestation, NCCL reference, pass threshold, cure, and retest process in the term sheet.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440" w:bottom="1181" w:left="1440" w:header="605" w:footer="60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5E6A73"/>
        <w:sz w:val="16"/>
      </w:rPr>
      <w:t xml:space="preserve">Synthetic benchmark matter - not a real transaction | </w:t>
    </w:r>
    <w:r>
      <w:rPr>
        <w:rFonts w:ascii="Calibri" w:hAnsi="Calibri"/>
        <w:color w:val="5E6A73"/>
        <w:sz w:val="16"/>
      </w:rPr>
      <w:t xml:space="preserve">Page </w:t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after="40"/>
      <w:pBdr>
        <w:bottom w:val="single" w:sz="6" w:space="3" w:color="D7DEE5"/>
      </w:pBdr>
    </w:pPr>
    <w:r>
      <w:rPr>
        <w:b/>
        <w:color w:val="5E6A73"/>
        <w:sz w:val="16"/>
      </w:rPr>
      <w:t>CB-2026-041 - BUYER MANDATE BRIEF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10" w:line="264" w:lineRule="auto"/>
    </w:pPr>
    <w:rPr>
      <w:rFonts w:ascii="Calibri" w:hAnsi="Calibri"/>
      <w:color w:val="17212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00" w:after="14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1F4D78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4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17212B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00"/>
    </w:pPr>
    <w:rPr>
      <w:rFonts w:asciiTheme="majorHAnsi" w:eastAsiaTheme="majorEastAsia" w:hAnsiTheme="majorHAnsi" w:cstheme="majorBidi" w:ascii="Calibri" w:hAnsi="Calibri"/>
      <w:b w:val="0"/>
      <w:i/>
      <w:iCs/>
      <w:color w:val="5E6A73"/>
      <w:spacing w:val="15"/>
      <w:sz w:val="21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compute-bazaar-bench synthetic matter</dc:subject>
  <dc:creator>Adam Sioud</dc:creator>
  <cp:keywords>compute-bazaar-bench, synthetic, CB-2026-041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