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Capacity Agreement Deviation Report</w:t>
      </w:r>
    </w:p>
    <w:p>
      <w:pPr>
        <w:pStyle w:val="Subtitle"/>
      </w:pPr>
      <w:r>
        <w:t>Northstar Models review of provider draft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Opportunity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CB-2026-041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Client perspective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 - buyer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Compared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August 20 term sheet; August 28 negotiation summary; September 2 draft agreement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Signing decisions and drafting instructions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b/>
                <w:color w:val="9B1C1C"/>
              </w:rPr>
              <w:t xml:space="preserve">Recommendation: </w:t>
            </w:r>
            <w:r>
              <w:t>Do not sign the current draft. Preserve the three agreed changes, but correct the commercial, technical, acceptance, security, capacity-control, and remedy deviations identified below.</w:t>
            </w:r>
          </w:p>
        </w:tc>
      </w:tr>
    </w:tbl>
    <w:p>
      <w:pPr>
        <w:spacing w:after="0"/>
      </w:pPr>
    </w:p>
    <w:p>
      <w:pPr>
        <w:pStyle w:val="Heading1"/>
      </w:pPr>
      <w:r>
        <w:t>1. Signing priorities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500"/>
        <w:gridCol w:w="3110"/>
      </w:tblGrid>
      <w:tr>
        <w:trPr>
          <w:tblHeader w:val="true"/>
          <w:cantSplit/>
        </w:trPr>
        <w:tc>
          <w:tcPr>
            <w:tcW w:type="dxa" w:w="17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31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Signing blockers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Power and site evidence; hardware title, liens, and consents; provider authority and parent support; security schedule; objective fabric, storage, and acceptance; deposit; substitution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Evidence delivered and agreement corrected before signature</w:t>
            </w:r>
          </w:p>
        </w:tc>
      </w:tr>
      <w:tr>
        <w:trPr>
          <w:cantSplit/>
        </w:trPr>
        <w:tc>
          <w:tcPr>
            <w:tcW w:type="dxa" w:w="17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Material drafting fixes</w:t>
            </w:r>
          </w:p>
        </w:tc>
        <w:tc>
          <w:tcPr>
            <w:tcW w:type="dxa" w:w="45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Escalation schedule; power pass-through; SLA credits; delay remedies; maintenance; force majeure; assignment/use; dispute forum</w:t>
            </w:r>
          </w:p>
        </w:tc>
        <w:tc>
          <w:tcPr>
            <w:tcW w:type="dxa" w:w="31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Conform draft or obtain explicit Northstar approval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Preserve as negotiated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Staged ramp; 99.3% availability threshold with agreed credits; expansion option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Keep package intact and label as agreed</w:t>
            </w:r>
          </w:p>
        </w:tc>
      </w:tr>
    </w:tbl>
    <w:p>
      <w:pPr>
        <w:spacing w:after="0"/>
      </w:pPr>
    </w:p>
    <w:p>
      <w:pPr>
        <w:pStyle w:val="Heading1"/>
      </w:pPr>
      <w:r>
        <w:t>2. Deviation analysis</w:t>
      </w:r>
    </w:p>
    <w:p>
      <w:pPr>
        <w:pStyle w:val="Heading2"/>
        <w:keepNext/>
        <w:pageBreakBefore w:val="0"/>
      </w:pPr>
      <w:r>
        <w:t>ISSUE_001 - Price escalation schedule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 / text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2% annual escalation; Agreement Section 4.1 also says 2%.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Schedule 2 uses 3%, producing $3.193 rather than $3.162 in the second contract year, a $0.031/GPU-hour difference before rounding.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to Northstar; unexplained; internal agreement inconsistency.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Correct Schedule 2 to 2% and recalculate every derived rate.</w:t>
            </w:r>
          </w:p>
        </w:tc>
      </w:tr>
    </w:tbl>
    <w:p>
      <w:pPr>
        <w:spacing w:after="0"/>
      </w:pPr>
    </w:p>
    <w:p>
      <w:pPr>
        <w:keepNext w:val="0"/>
        <w:spacing w:after="0"/>
      </w:pPr>
      <w:r>
        <w:br w:type="page"/>
      </w:r>
    </w:p>
    <w:p>
      <w:pPr>
        <w:pStyle w:val="Heading2"/>
        <w:keepNext/>
        <w:pageBreakBefore w:val="0"/>
      </w:pPr>
      <w:r>
        <w:t>ISSUE_002 - Staged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All 1,024 GPUs by January 15, 2027.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512 GPUs January 15 and 512 GPUs February 1.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to original buyer position but expressly agreed on August 28.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Preserve the staged ramp; confirm billing begins only when each tranche passes acceptance.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ISSUE_003 - Availability threshold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99.5% monthly availability.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99.3% monthly availability.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but expressly negotiated as part of a service-credit package.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Accept 99.3% only if the agreed 12% credit rate and 50% cap are restored.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ISSUE_004 - Service-credit economics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Negotiated position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12% of monthly committed charges per percentage point below 99.3%; 50% monthly cap.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8% per point and a 25% cap.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Adverse, unexplained, and contrary to the package supporting the 99.3% concession.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the 12% rate and 50% cap in Sections 8.2 and 8.3.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ISSUE_005 - Power pass-through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Power included up to $0.075/kWh; verified excess at cost, with invoices, 30 days' notice, audit, and all-in cap.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All electricity charges, riders, taxes, surcharges, and allocated power costs pass through monthly, with no threshold, at-cost language, support, notice, audit, or cap link.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Materially adverse and potentially inconsistent with Northstar's $3.35/GPU-hour all-in cap.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Reinsert the threshold and all controls; state expressly that permitted pass-through cannot breach the all-in cap.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ISSUE_006 - Security deposit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Three months, creditable to final invoices and otherwise refundable.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Four months and non-refundable.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Adverse, unagreed, and a buyer checklist hard stop.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the three-month refundable and creditable structure.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ISSUE_007 - Delay credits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$300,000 per full week, capped at $2.4 million; termination after eight weeks.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$150,000 per week, $2.5 million cap, termination after ten weeks. The draft says ten weeks at $150,000 equals $2.5 million; it equals $1.5 million.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unexplained. The nominal cap does not cure the halved weekly remedy.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$300,000/week, $2.4 million, eight weeks, and internally consistent arithmetic.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ISSUE_008 - Fabric obligation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At least one 400 Gb/s endpoint per GPU, with topology and port map.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Only commercially reasonable high-speed interconnect; Provider may alter topology.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a technical signing blocker because the obligation is no longer measurable.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the 400 Gb/s per-GPU floor and tie topology and port-map evidence to acceptance.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ISSUE_009 - Storage performance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6 PiB usable shared storage with 1.2 TB/s sustained read and 800 GB/s sustained write.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The same figures are only design targets 'up to' those levels under undefined representative conditions.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unexplained because the draft turns measurable performance obligations into qualified aspirations.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firm sustained-throughput commitments and define the workload, measurement window, remedy, and acceptance test.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ISSUE_010 - GPU substitution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 / negotiation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B200 or later with equal or better specifications, only with Northstar consent; August 28 expressly says no H200.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B200, H200, or other NVIDIA device with similar memory, without consent.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Materially adverse, unagreed, and a buyer hard stop.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Limit substitution to B200 or later equal-or-better hardware with prior written consent.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ISSUE_011 -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Negotiated position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72-hour burn-in, serial and inventory attestation, and NCCL at least 92% of the agreed reference.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Provider-standard diagnostics and deemed acceptance after 24 hours; no inventory attestation or objective NCCL test.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Materially adverse and a signing blocker.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Insert all three tests, the 92% threshold, cure and retest, and no deemed acceptance before testing completes.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ISSUE_012 - Planned maintenance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No more than eight hours of planned maintenance per month with at least seven days' notice.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Up to twelve hours per month with only five days' notice.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unexplained: the maintenance allowance increases by 50% and notice is shortened by two days.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the eight-hour monthly limit and seven-day notice period.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ISSUE_013 - Force majeure exit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Termination after 90 consecutive days of material nonperformance.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Termination only after 180 days.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unexplained; doubles Northstar's exposure to unavailable capacity.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90 days or add an earlier capacity-shortfall termination right.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ISSUE_014 - Assignment and customer 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Affiliate assignment without consent and workload allocation to named controlled customers while Northstar remains liable.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Provider consent for affiliate assignment and prohibition on all third-party use.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and inconsistent with agreed operating flexibility.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affiliate assignment and the named controlled-customer use right; retain the no-unrestricted-resale rule.</w:t>
            </w:r>
          </w:p>
        </w:tc>
      </w:tr>
    </w:tbl>
    <w:p>
      <w:pPr>
        <w:spacing w:after="0" w:line="20" w:lineRule="exact" w:before="0"/>
      </w:pPr>
    </w:p>
    <w:p>
      <w:pPr>
        <w:pStyle w:val="Heading2"/>
        <w:keepNext/>
        <w:pageBreakBefore w:val="0"/>
      </w:pPr>
      <w:r>
        <w:t>ISSUE_015 - Capacity control conditions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Definitive documentation is conditioned on evidence of provider authority, utility delivery, facility commissioning, hardware title, liens, and required lender or third-party consents.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Sections 12.1 and 12.2 give a qualified right-to-operate representation, permit financing liens, and leave necessary consents to Provider's own determination; the agreement contains no objective delivery condition for the required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Unresolved signing risk, not a drafting detail. The current language does not prove that the contracting entity controls the capacity it promises.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Make the evidence and required consents conditions to signing or service commencement, identify permitted liens, and require objective title and release evidence.</w:t>
            </w:r>
          </w:p>
        </w:tc>
      </w:tr>
    </w:tbl>
    <w:p>
      <w:pPr>
        <w:spacing w:after="0" w:line="20" w:lineRule="exact" w:before="0"/>
      </w:pPr>
    </w:p>
    <w:p>
      <w:pPr>
        <w:pStyle w:val="Heading2"/>
        <w:keepNext/>
        <w:pageBreakBefore w:val="0"/>
      </w:pPr>
      <w:r>
        <w:t>ISSUE_016 - Parent support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An enforceable guarantee from Alder Ridge Compute Holdings, Inc. is a condition to the definitive agreement.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Section 12.3 postpones even the form and amount of parent support until after signing.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Materially adverse and a signing blocker because agreed credit support is absent.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Attach and execute the agreed parent guarantee at signing; do not defer its scope.</w:t>
            </w:r>
          </w:p>
        </w:tc>
      </w:tr>
    </w:tbl>
    <w:p>
      <w:pPr>
        <w:spacing w:after="0" w:line="20" w:lineRule="exact" w:before="0"/>
      </w:pPr>
    </w:p>
    <w:p>
      <w:pPr>
        <w:pStyle w:val="Heading2"/>
        <w:keepNext/>
        <w:pageBreakBefore w:val="0"/>
      </w:pPr>
      <w:r>
        <w:t>ISSUE_017 - Security schedule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Current SOC 2 Type II and an agreed security schedule are conditions to the definitive agreement.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Sections 9.1 and 9.3 rely on commercially reasonable safeguards and a security schedule that is not included in the draft package.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Unresolved hard stop because key controls, customer-managed keys, and audit-log obligations are not complete contractual commitments.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Complete, review, and attach the security schedule before signing; preserve the current SOC 2, US data, customer-key, and exportable-log requirements.</w:t>
            </w:r>
          </w:p>
        </w:tc>
      </w:tr>
    </w:tbl>
    <w:p>
      <w:pPr>
        <w:spacing w:after="0" w:line="20" w:lineRule="exact" w:before="0"/>
      </w:pPr>
    </w:p>
    <w:p>
      <w:pPr>
        <w:keepNext w:val="0"/>
        <w:spacing w:after="0"/>
      </w:pPr>
      <w:r>
        <w:br w:type="page"/>
      </w:r>
    </w:p>
    <w:p>
      <w:pPr>
        <w:pStyle w:val="Heading2"/>
        <w:keepNext/>
        <w:pageBreakBefore w:val="0"/>
      </w:pPr>
      <w:r>
        <w:t>ISSUE_018 - Dispute forum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Confidential AAA arbitration seated in New York after executive escalation.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Exclusive state or federal litigation in Virginia.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Adverse or approval-required due to confidentiality, discovery, appeal, and provider home-forum effects.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Restore confidential arbitration unless Northstar expressly approves litigation.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ISSUE_019 - Expansion option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keepNext w:val="1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Term sheet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No fixed expansion price.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Draft deviation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Option for a further 1,024 B200 GPUs at no more than $3.30/GPU-hour, exercisable by March 31, 2027.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1"/>
            </w:pPr>
            <w:r>
              <w:rPr>
                <w:sz w:val="17"/>
              </w:rPr>
              <w:t>Favorable to Northstar and expressly agreed on August 28.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75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keepNext w:val="0"/>
            </w:pPr>
            <w:r>
              <w:rPr>
                <w:sz w:val="17"/>
              </w:rPr>
              <w:t>Preserve the option and confirm it is not weakened elsewhere.</w:t>
            </w:r>
          </w:p>
        </w:tc>
      </w:tr>
    </w:tbl>
    <w:p>
      <w:pPr>
        <w:spacing w:after="0"/>
      </w:pPr>
    </w:p>
    <w:p>
      <w:pPr>
        <w:pStyle w:val="Heading1"/>
      </w:pPr>
      <w:r>
        <w:t>3. Execution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4860"/>
      </w:tblGrid>
      <w:tr>
        <w:trPr>
          <w:tblHeader w:val="true"/>
          <w:cantSplit/>
        </w:trPr>
        <w:tc>
          <w:tcPr>
            <w:tcW w:type="dxa" w:w="2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Current result</w:t>
            </w:r>
          </w:p>
        </w:tc>
        <w:tc>
          <w:tcPr>
            <w:tcW w:type="dxa" w:w="48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Provider authority and parent support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Not satisfied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Confirm Campus LLC authority and execute the agreed Holdings guarantee at signing.</w:t>
            </w:r>
          </w:p>
        </w:tc>
      </w:tr>
      <w:tr>
        <w:trPr>
          <w:cantSplit/>
        </w:trP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24 MW delivery evidence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Not satisfied</w:t>
            </w:r>
          </w:p>
        </w:tc>
        <w:tc>
          <w:tcPr>
            <w:tcW w:type="dxa" w:w="4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Reconcile 12 MW Jan. 15 plus 12 MW Apr. 1 against the contracted GPU ramp.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Site control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Exercise or extend the October 31 site option and obtain required consent through the service term.</w:t>
            </w:r>
          </w:p>
        </w:tc>
      </w:tr>
      <w:tr>
        <w:trPr>
          <w:cantSplit/>
        </w:trP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Hardware title, liens, and consents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Open</w:t>
            </w:r>
          </w:p>
        </w:tc>
        <w:tc>
          <w:tcPr>
            <w:tcW w:type="dxa" w:w="4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Complete title chain and serial allocation, Crestline consent, UCC review, permitted-lien definition, and release mechanics.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Objective network, storage, and acceptance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Not satisfied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Restore 400 Gb/s per GPU, firm storage throughput, 72-hour burn-in, serial attestation, and 92% NCCL threshold.</w:t>
            </w:r>
          </w:p>
        </w:tc>
      </w:tr>
      <w:tr>
        <w:trPr>
          <w:cantSplit/>
        </w:trP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Security schedule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Not satisfied</w:t>
            </w:r>
          </w:p>
        </w:tc>
        <w:tc>
          <w:tcPr>
            <w:tcW w:type="dxa" w:w="4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Complete and attach the agreed schedule before signing; verify SOC 2, US data, customer-key, and log terms.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Commercial mandate limits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Not satisfied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Restore three-month refundable deposit and controlled power pass-through under the all-in cap.</w:t>
            </w:r>
          </w:p>
        </w:tc>
      </w:tr>
      <w:tr>
        <w:trPr>
          <w:cantSplit/>
        </w:trP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Insurance and credit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Open</w:t>
            </w:r>
          </w:p>
        </w:tc>
        <w:tc>
          <w:tcPr>
            <w:tcW w:type="dxa" w:w="48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Confirm cyber and technology E&amp;O coverage, financial capacity, and the final parent-support package.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Agreed negotiation package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Partially reflected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Keep staged ramp, 99.3% threshold plus original credits, and expansion option together.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CAPACITY AGREEMENT DEVIATION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